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05" w:rsidRPr="0017601F" w:rsidRDefault="005F2EAB" w:rsidP="00C4723D">
      <w:pPr>
        <w:widowControl/>
        <w:tabs>
          <w:tab w:val="right" w:pos="9360"/>
        </w:tabs>
        <w:wordWrap/>
        <w:autoSpaceDE/>
        <w:autoSpaceDN/>
        <w:jc w:val="left"/>
        <w:rPr>
          <w:rFonts w:ascii="Arial" w:eastAsiaTheme="minorEastAsia" w:hAnsi="Arial" w:cs="Arial"/>
          <w:b/>
          <w:kern w:val="0"/>
          <w:sz w:val="28"/>
          <w:szCs w:val="28"/>
          <w:lang w:eastAsia="zh-CN"/>
        </w:rPr>
      </w:pPr>
      <w:bookmarkStart w:id="0" w:name="OLE_LINK1"/>
      <w:bookmarkStart w:id="1" w:name="OLE_LINK2"/>
      <w:bookmarkStart w:id="2" w:name="OLE_LINK6"/>
      <w:bookmarkStart w:id="3" w:name="OLE_LINK7"/>
      <w:r w:rsidRPr="00EB4128">
        <w:rPr>
          <w:rFonts w:ascii="Arial" w:hAnsi="Arial" w:cs="Arial"/>
          <w:b/>
          <w:sz w:val="24"/>
        </w:rPr>
        <w:t>3GPP TSG-RAN WG1 #7</w:t>
      </w:r>
      <w:r w:rsidR="0017601F">
        <w:rPr>
          <w:rFonts w:ascii="Arial" w:eastAsiaTheme="minorEastAsia" w:hAnsi="Arial" w:cs="Arial" w:hint="eastAsia"/>
          <w:b/>
          <w:sz w:val="24"/>
          <w:lang w:eastAsia="zh-CN"/>
        </w:rPr>
        <w:t>5</w:t>
      </w:r>
      <w:r w:rsidR="00385205" w:rsidRPr="00392E7D">
        <w:rPr>
          <w:rFonts w:ascii="Arial" w:eastAsia="SimSun" w:hAnsi="Arial" w:cs="Arial"/>
          <w:b/>
          <w:kern w:val="0"/>
          <w:sz w:val="28"/>
          <w:szCs w:val="28"/>
          <w:lang w:eastAsia="en-US"/>
        </w:rPr>
        <w:t xml:space="preserve">     </w:t>
      </w:r>
      <w:r>
        <w:rPr>
          <w:rFonts w:ascii="Arial" w:eastAsia="SimSun" w:hAnsi="Arial" w:cs="Arial" w:hint="eastAsia"/>
          <w:b/>
          <w:kern w:val="0"/>
          <w:sz w:val="28"/>
          <w:szCs w:val="28"/>
          <w:lang w:eastAsia="zh-CN"/>
        </w:rPr>
        <w:tab/>
      </w:r>
      <w:r w:rsidR="00385205" w:rsidRPr="005F2EAB">
        <w:rPr>
          <w:rFonts w:ascii="Arial" w:hAnsi="Arial" w:cs="Arial"/>
          <w:b/>
          <w:sz w:val="24"/>
        </w:rPr>
        <w:t xml:space="preserve">                  </w:t>
      </w:r>
      <w:r w:rsidR="00697742" w:rsidRPr="005F2EAB">
        <w:rPr>
          <w:rFonts w:ascii="Arial" w:hAnsi="Arial" w:cs="Arial"/>
          <w:b/>
          <w:sz w:val="24"/>
        </w:rPr>
        <w:t xml:space="preserve">      </w:t>
      </w:r>
      <w:r w:rsidR="009C7529" w:rsidRPr="005F2EAB">
        <w:rPr>
          <w:rFonts w:ascii="Arial" w:hAnsi="Arial" w:cs="Arial"/>
          <w:b/>
          <w:sz w:val="24"/>
        </w:rPr>
        <w:t xml:space="preserve">        </w:t>
      </w:r>
      <w:r w:rsidR="006A6520" w:rsidRPr="006A6520">
        <w:rPr>
          <w:rFonts w:ascii="Arial" w:hAnsi="Arial" w:cs="Arial"/>
          <w:b/>
          <w:sz w:val="24"/>
        </w:rPr>
        <w:t>R1-13</w:t>
      </w:r>
      <w:r w:rsidR="00EF63EE">
        <w:rPr>
          <w:rFonts w:ascii="Arial" w:eastAsiaTheme="minorEastAsia" w:hAnsi="Arial" w:cs="Arial" w:hint="eastAsia"/>
          <w:b/>
          <w:sz w:val="24"/>
          <w:lang w:eastAsia="zh-CN"/>
        </w:rPr>
        <w:t>5291</w:t>
      </w:r>
    </w:p>
    <w:bookmarkEnd w:id="0"/>
    <w:bookmarkEnd w:id="1"/>
    <w:p w:rsidR="000F29F8" w:rsidRPr="005F2EAB" w:rsidRDefault="0017601F" w:rsidP="000F29F8">
      <w:pPr>
        <w:widowControl/>
        <w:tabs>
          <w:tab w:val="right" w:pos="9630"/>
        </w:tabs>
        <w:wordWrap/>
        <w:autoSpaceDE/>
        <w:autoSpaceDN/>
        <w:jc w:val="left"/>
        <w:rPr>
          <w:rFonts w:ascii="Arial" w:hAnsi="Arial" w:cs="Arial"/>
          <w:b/>
          <w:sz w:val="24"/>
        </w:rPr>
      </w:pPr>
      <w:r>
        <w:rPr>
          <w:rFonts w:ascii="Arial" w:eastAsiaTheme="minorEastAsia" w:hAnsi="Arial" w:cs="Arial" w:hint="eastAsia"/>
          <w:b/>
          <w:bCs/>
          <w:sz w:val="24"/>
          <w:lang w:eastAsia="zh-CN"/>
        </w:rPr>
        <w:t>November</w:t>
      </w:r>
      <w:r w:rsidR="00220E67" w:rsidRPr="00EB4128">
        <w:rPr>
          <w:rFonts w:ascii="Arial" w:hAnsi="Arial" w:cs="Arial"/>
          <w:b/>
          <w:bCs/>
          <w:sz w:val="24"/>
          <w:lang w:eastAsia="zh-CN"/>
        </w:rPr>
        <w:t xml:space="preserve"> </w:t>
      </w:r>
      <w:r>
        <w:rPr>
          <w:rFonts w:ascii="Arial" w:eastAsiaTheme="minorEastAsia" w:hAnsi="Arial" w:cs="Arial" w:hint="eastAsia"/>
          <w:b/>
          <w:bCs/>
          <w:sz w:val="24"/>
          <w:lang w:eastAsia="zh-CN"/>
        </w:rPr>
        <w:t>11</w:t>
      </w:r>
      <w:r w:rsidR="00034CDB" w:rsidRPr="00230B13">
        <w:rPr>
          <w:rFonts w:ascii="Arial" w:eastAsiaTheme="minorEastAsia" w:hAnsi="Arial" w:cs="Arial"/>
          <w:b/>
          <w:bCs/>
          <w:sz w:val="24"/>
          <w:vertAlign w:val="superscript"/>
          <w:lang w:eastAsia="zh-CN"/>
        </w:rPr>
        <w:t>th</w:t>
      </w:r>
      <w:r w:rsidR="00220E67">
        <w:rPr>
          <w:rFonts w:ascii="Arial" w:hAnsi="Arial" w:cs="Arial"/>
          <w:b/>
          <w:bCs/>
          <w:sz w:val="24"/>
          <w:lang w:eastAsia="zh-CN"/>
        </w:rPr>
        <w:t xml:space="preserve"> </w:t>
      </w:r>
      <w:r w:rsidR="00220E67" w:rsidRPr="00AB4300">
        <w:rPr>
          <w:rFonts w:ascii="Arial" w:hAnsi="Arial" w:cs="Arial"/>
          <w:b/>
          <w:bCs/>
          <w:sz w:val="24"/>
          <w:lang w:eastAsia="zh-CN"/>
        </w:rPr>
        <w:t xml:space="preserve">– </w:t>
      </w:r>
      <w:r w:rsidR="00A5606E">
        <w:rPr>
          <w:rFonts w:ascii="Arial" w:eastAsiaTheme="minorEastAsia" w:hAnsi="Arial" w:cs="Arial" w:hint="eastAsia"/>
          <w:b/>
          <w:bCs/>
          <w:sz w:val="24"/>
          <w:lang w:eastAsia="zh-CN"/>
        </w:rPr>
        <w:t>1</w:t>
      </w:r>
      <w:r>
        <w:rPr>
          <w:rFonts w:ascii="Arial" w:eastAsiaTheme="minorEastAsia" w:hAnsi="Arial" w:cs="Arial" w:hint="eastAsia"/>
          <w:b/>
          <w:bCs/>
          <w:sz w:val="24"/>
          <w:lang w:eastAsia="zh-CN"/>
        </w:rPr>
        <w:t>5</w:t>
      </w:r>
      <w:r w:rsidR="00034CDB" w:rsidRPr="0053733C">
        <w:rPr>
          <w:rFonts w:ascii="Arial" w:eastAsiaTheme="minorEastAsia" w:hAnsi="Arial" w:cs="Arial"/>
          <w:b/>
          <w:bCs/>
          <w:sz w:val="24"/>
          <w:vertAlign w:val="superscript"/>
          <w:lang w:eastAsia="zh-CN"/>
        </w:rPr>
        <w:t>th</w:t>
      </w:r>
      <w:r w:rsidR="00220E67" w:rsidRPr="00EB4128">
        <w:rPr>
          <w:rFonts w:ascii="Arial" w:hAnsi="Arial" w:cs="Arial"/>
          <w:b/>
          <w:bCs/>
          <w:sz w:val="24"/>
          <w:lang w:eastAsia="zh-CN"/>
        </w:rPr>
        <w:t>, 201</w:t>
      </w:r>
      <w:r w:rsidR="00220E67">
        <w:rPr>
          <w:rFonts w:ascii="Arial" w:hAnsi="Arial" w:cs="Arial"/>
          <w:b/>
          <w:bCs/>
          <w:sz w:val="24"/>
          <w:lang w:eastAsia="zh-CN"/>
        </w:rPr>
        <w:t>3</w:t>
      </w:r>
    </w:p>
    <w:p w:rsidR="000F29F8" w:rsidRPr="00295D7F" w:rsidRDefault="0017601F" w:rsidP="000F29F8">
      <w:pPr>
        <w:widowControl/>
        <w:tabs>
          <w:tab w:val="right" w:pos="9630"/>
        </w:tabs>
        <w:wordWrap/>
        <w:autoSpaceDE/>
        <w:autoSpaceDN/>
        <w:jc w:val="left"/>
        <w:rPr>
          <w:rFonts w:ascii="Arial" w:eastAsiaTheme="minorEastAsia" w:hAnsi="Arial" w:cs="Arial"/>
          <w:b/>
          <w:sz w:val="24"/>
          <w:lang w:eastAsia="zh-CN"/>
        </w:rPr>
      </w:pPr>
      <w:r>
        <w:rPr>
          <w:rFonts w:ascii="Arial" w:hAnsi="Arial" w:cs="Arial"/>
          <w:b/>
          <w:sz w:val="24"/>
        </w:rPr>
        <w:t>San Francisco</w:t>
      </w:r>
      <w:r w:rsidR="00220E67">
        <w:rPr>
          <w:rFonts w:ascii="Arial" w:hAnsi="Arial" w:cs="Arial"/>
          <w:b/>
          <w:sz w:val="24"/>
        </w:rPr>
        <w:t xml:space="preserve">, </w:t>
      </w:r>
      <w:r>
        <w:rPr>
          <w:rFonts w:ascii="Arial" w:eastAsiaTheme="minorEastAsia" w:hAnsi="Arial" w:cs="Arial" w:hint="eastAsia"/>
          <w:b/>
          <w:sz w:val="24"/>
          <w:lang w:eastAsia="zh-CN"/>
        </w:rPr>
        <w:t>USA</w:t>
      </w:r>
    </w:p>
    <w:p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rsidR="002A2420" w:rsidRPr="005F2EAB" w:rsidRDefault="002A2420" w:rsidP="002A2420">
      <w:pPr>
        <w:wordWrap/>
        <w:adjustRightInd w:val="0"/>
        <w:snapToGrid w:val="0"/>
        <w:spacing w:line="360" w:lineRule="auto"/>
        <w:rPr>
          <w:rFonts w:ascii="Arial" w:eastAsiaTheme="minorEastAsia" w:hAnsi="Arial" w:cs="Arial"/>
          <w:snapToGrid w:val="0"/>
          <w:sz w:val="24"/>
          <w:lang w:eastAsia="zh-CN"/>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7B74F6">
        <w:rPr>
          <w:rFonts w:ascii="Arial" w:eastAsiaTheme="minorEastAsia" w:hAnsi="Arial" w:cs="Arial" w:hint="eastAsia"/>
          <w:snapToGrid w:val="0"/>
          <w:sz w:val="24"/>
          <w:lang w:eastAsia="zh-CN"/>
        </w:rPr>
        <w:t>6</w:t>
      </w:r>
      <w:r w:rsidR="009C7529">
        <w:rPr>
          <w:rFonts w:ascii="Arial" w:hAnsi="Arial" w:cs="Arial"/>
          <w:snapToGrid w:val="0"/>
          <w:sz w:val="24"/>
        </w:rPr>
        <w:t>.</w:t>
      </w:r>
      <w:r w:rsidR="005F2EAB">
        <w:rPr>
          <w:rFonts w:ascii="Arial" w:eastAsiaTheme="minorEastAsia" w:hAnsi="Arial" w:cs="Arial" w:hint="eastAsia"/>
          <w:snapToGrid w:val="0"/>
          <w:sz w:val="24"/>
          <w:lang w:eastAsia="zh-CN"/>
        </w:rPr>
        <w:t>2</w:t>
      </w:r>
      <w:r w:rsidR="009C7529">
        <w:rPr>
          <w:rFonts w:ascii="Arial" w:hAnsi="Arial" w:cs="Arial"/>
          <w:snapToGrid w:val="0"/>
          <w:sz w:val="24"/>
        </w:rPr>
        <w:t>.</w:t>
      </w:r>
      <w:r w:rsidR="00A5606E">
        <w:rPr>
          <w:rFonts w:ascii="Arial" w:eastAsiaTheme="minorEastAsia" w:hAnsi="Arial" w:cs="Arial" w:hint="eastAsia"/>
          <w:snapToGrid w:val="0"/>
          <w:sz w:val="24"/>
          <w:lang w:eastAsia="zh-CN"/>
        </w:rPr>
        <w:t>1</w:t>
      </w:r>
      <w:r w:rsidR="00D96EC8">
        <w:rPr>
          <w:rFonts w:ascii="Arial" w:hAnsi="Arial" w:cs="Arial"/>
          <w:snapToGrid w:val="0"/>
          <w:sz w:val="24"/>
        </w:rPr>
        <w:t>.</w:t>
      </w:r>
      <w:r w:rsidR="00147E9D">
        <w:rPr>
          <w:rFonts w:ascii="Arial" w:eastAsiaTheme="minorEastAsia" w:hAnsi="Arial" w:cs="Arial" w:hint="eastAsia"/>
          <w:snapToGrid w:val="0"/>
          <w:sz w:val="24"/>
          <w:lang w:eastAsia="zh-CN"/>
        </w:rPr>
        <w:t>3</w:t>
      </w:r>
    </w:p>
    <w:p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DF2C6C">
        <w:rPr>
          <w:rFonts w:ascii="Arial" w:hAnsi="Arial" w:cs="Arial"/>
          <w:snapToGrid w:val="0"/>
          <w:sz w:val="24"/>
        </w:rPr>
        <w:t xml:space="preserve"> Incorporated</w:t>
      </w:r>
    </w:p>
    <w:p w:rsidR="002A2420" w:rsidRPr="00EC6ED2" w:rsidRDefault="002A2420" w:rsidP="000F29F8">
      <w:pPr>
        <w:wordWrap/>
        <w:spacing w:line="360" w:lineRule="auto"/>
        <w:ind w:left="695" w:hangingChars="295" w:hanging="695"/>
        <w:jc w:val="left"/>
        <w:rPr>
          <w:rFonts w:ascii="Arial" w:eastAsiaTheme="minorEastAsia" w:hAnsi="Arial" w:cs="Arial"/>
          <w:sz w:val="24"/>
          <w:lang w:eastAsia="zh-CN"/>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E17E1A" w:rsidRPr="00E17E1A">
        <w:rPr>
          <w:rFonts w:ascii="Arial" w:eastAsiaTheme="minorEastAsia" w:hAnsi="Arial" w:cs="Arial"/>
          <w:snapToGrid w:val="0"/>
          <w:sz w:val="24"/>
          <w:lang w:eastAsia="zh-CN"/>
        </w:rPr>
        <w:t>eIMTA PUCCH Resource Allocation</w:t>
      </w:r>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920D4">
        <w:rPr>
          <w:rFonts w:ascii="Arial" w:hAnsi="Arial" w:cs="Arial"/>
          <w:snapToGrid w:val="0"/>
          <w:sz w:val="24"/>
        </w:rPr>
        <w:t>/Decision</w:t>
      </w:r>
      <w:r w:rsidRPr="000F29F8">
        <w:rPr>
          <w:rFonts w:ascii="Arial" w:hAnsi="Arial" w:cs="Arial"/>
          <w:snapToGrid w:val="0"/>
          <w:sz w:val="24"/>
        </w:rPr>
        <w:t xml:space="preserve"> </w:t>
      </w:r>
    </w:p>
    <w:p w:rsidR="00E6313F" w:rsidRDefault="00E6313F" w:rsidP="004B7BB9">
      <w:pPr>
        <w:pStyle w:val="LGTdoc1"/>
        <w:spacing w:beforeLines="0" w:after="0" w:afterAutospacing="0"/>
        <w:ind w:left="432"/>
        <w:rPr>
          <w:rFonts w:ascii="Arial" w:hAnsi="Arial" w:cs="Arial"/>
          <w:lang w:val="en-US"/>
        </w:rPr>
      </w:pPr>
    </w:p>
    <w:p w:rsidR="008B1565" w:rsidRDefault="007949E6" w:rsidP="00796D48">
      <w:pPr>
        <w:pStyle w:val="LGTdoc1"/>
        <w:numPr>
          <w:ilvl w:val="0"/>
          <w:numId w:val="3"/>
        </w:numPr>
        <w:spacing w:beforeLines="0" w:before="120" w:after="0" w:afterAutospacing="0"/>
        <w:rPr>
          <w:rFonts w:ascii="Arial" w:hAnsi="Arial" w:cs="Arial"/>
          <w:lang w:val="en-US"/>
        </w:rPr>
      </w:pPr>
      <w:r w:rsidRPr="00392E7D">
        <w:rPr>
          <w:rFonts w:ascii="Arial" w:hAnsi="Arial" w:cs="Arial"/>
          <w:lang w:val="en-US"/>
        </w:rPr>
        <w:t>Introduction</w:t>
      </w:r>
    </w:p>
    <w:p w:rsidR="00700D0C" w:rsidRDefault="00EE2CDF" w:rsidP="00EE2CDF">
      <w:pPr>
        <w:pStyle w:val="LGTdoc0"/>
        <w:spacing w:before="120" w:afterLines="0" w:line="240" w:lineRule="auto"/>
        <w:rPr>
          <w:rFonts w:eastAsia="SimSun"/>
          <w:lang w:eastAsia="zh-CN"/>
        </w:rPr>
      </w:pPr>
      <w:r w:rsidRPr="005168B1">
        <w:rPr>
          <w:rFonts w:eastAsia="SimSun" w:hint="eastAsia"/>
          <w:lang w:eastAsia="zh-CN"/>
        </w:rPr>
        <w:t xml:space="preserve">In </w:t>
      </w:r>
      <w:r w:rsidR="00700D0C">
        <w:rPr>
          <w:rFonts w:eastAsia="SimSun" w:hint="eastAsia"/>
          <w:lang w:eastAsia="zh-CN"/>
        </w:rPr>
        <w:t>the R</w:t>
      </w:r>
      <w:r w:rsidRPr="005168B1">
        <w:rPr>
          <w:rFonts w:eastAsia="SimSun" w:hint="eastAsia"/>
          <w:lang w:eastAsia="zh-CN"/>
        </w:rPr>
        <w:t>AN1#7</w:t>
      </w:r>
      <w:r>
        <w:rPr>
          <w:rFonts w:eastAsia="SimSun" w:hint="eastAsia"/>
          <w:lang w:eastAsia="zh-CN"/>
        </w:rPr>
        <w:t>4</w:t>
      </w:r>
      <w:r w:rsidR="00700D0C">
        <w:rPr>
          <w:rFonts w:eastAsia="SimSun" w:hint="eastAsia"/>
          <w:lang w:eastAsia="zh-CN"/>
        </w:rPr>
        <w:t>b</w:t>
      </w:r>
      <w:r w:rsidRPr="005168B1">
        <w:rPr>
          <w:rFonts w:eastAsia="SimSun" w:hint="eastAsia"/>
          <w:lang w:eastAsia="zh-CN"/>
        </w:rPr>
        <w:t xml:space="preserve"> meeting, </w:t>
      </w:r>
      <w:r w:rsidR="00700D0C">
        <w:rPr>
          <w:rFonts w:eastAsia="SimSun" w:hint="eastAsia"/>
          <w:lang w:eastAsia="zh-CN"/>
        </w:rPr>
        <w:t>it was agreed that the downlink HARQ timing follows a higher layer RRC configured TDD UL-DL reference configuration:</w:t>
      </w:r>
    </w:p>
    <w:p w:rsidR="00700D0C" w:rsidRPr="00194295" w:rsidRDefault="00700D0C" w:rsidP="00194295">
      <w:pPr>
        <w:pStyle w:val="BodyText"/>
        <w:numPr>
          <w:ilvl w:val="0"/>
          <w:numId w:val="14"/>
        </w:numPr>
        <w:spacing w:before="120"/>
        <w:rPr>
          <w:rFonts w:eastAsia="SimSun"/>
          <w:i/>
          <w:lang w:eastAsia="zh-CN"/>
        </w:rPr>
      </w:pPr>
      <w:r w:rsidRPr="00700D0C">
        <w:rPr>
          <w:rFonts w:eastAsia="SimSun"/>
          <w:i/>
          <w:lang w:eastAsia="zh-CN"/>
        </w:rPr>
        <w:t>D</w:t>
      </w:r>
      <w:r>
        <w:rPr>
          <w:rFonts w:eastAsia="SimSun" w:hint="eastAsia"/>
          <w:i/>
          <w:lang w:eastAsia="zh-CN"/>
        </w:rPr>
        <w:t xml:space="preserve">ownlink </w:t>
      </w:r>
      <w:r w:rsidRPr="00700D0C">
        <w:rPr>
          <w:rFonts w:eastAsia="SimSun"/>
          <w:i/>
          <w:lang w:eastAsia="zh-CN"/>
        </w:rPr>
        <w:t>HARQ reference configuration can choose from Rel-8 TDD UL-DL configurations {2, 4, 5}</w:t>
      </w:r>
    </w:p>
    <w:p w:rsidR="00EE2CDF" w:rsidRDefault="00EE2CDF" w:rsidP="00EE2CDF">
      <w:pPr>
        <w:pStyle w:val="LGTdoc0"/>
        <w:spacing w:before="120" w:afterLines="0" w:line="240" w:lineRule="auto"/>
        <w:rPr>
          <w:rFonts w:eastAsiaTheme="minorEastAsia"/>
          <w:szCs w:val="22"/>
          <w:lang w:val="en-US" w:eastAsia="zh-CN"/>
        </w:rPr>
      </w:pPr>
      <w:r>
        <w:rPr>
          <w:rFonts w:eastAsia="SimSun" w:hint="eastAsia"/>
          <w:lang w:eastAsia="zh-CN"/>
        </w:rPr>
        <w:t xml:space="preserve">In this contribution, we </w:t>
      </w:r>
      <w:r w:rsidR="00700D0C">
        <w:rPr>
          <w:rFonts w:eastAsia="SimSun" w:hint="eastAsia"/>
          <w:lang w:eastAsia="zh-CN"/>
        </w:rPr>
        <w:t xml:space="preserve">discuss some </w:t>
      </w:r>
      <w:r w:rsidR="002C0053">
        <w:rPr>
          <w:rFonts w:eastAsia="SimSun" w:hint="eastAsia"/>
          <w:lang w:eastAsia="zh-CN"/>
        </w:rPr>
        <w:t xml:space="preserve">remaining </w:t>
      </w:r>
      <w:r w:rsidR="00700D0C">
        <w:rPr>
          <w:rFonts w:eastAsia="SimSun"/>
          <w:lang w:eastAsia="zh-CN"/>
        </w:rPr>
        <w:t>details</w:t>
      </w:r>
      <w:r w:rsidR="00700D0C">
        <w:rPr>
          <w:rFonts w:eastAsia="SimSun" w:hint="eastAsia"/>
          <w:lang w:eastAsia="zh-CN"/>
        </w:rPr>
        <w:t xml:space="preserve"> of HARQ-ACK PUCCH resource allocation in TDD eIMTA system and give our proposal</w:t>
      </w:r>
      <w:r w:rsidRPr="003C748F">
        <w:rPr>
          <w:rFonts w:eastAsia="SimSun" w:hint="eastAsia"/>
          <w:lang w:eastAsia="zh-CN"/>
        </w:rPr>
        <w:t xml:space="preserve">. </w:t>
      </w:r>
    </w:p>
    <w:p w:rsidR="00B839B0" w:rsidRPr="002E13AB" w:rsidRDefault="00B839B0" w:rsidP="00EE2CDF">
      <w:pPr>
        <w:pStyle w:val="LGTdoc0"/>
        <w:spacing w:before="120" w:afterLines="0" w:line="240" w:lineRule="auto"/>
        <w:rPr>
          <w:rFonts w:eastAsiaTheme="minorEastAsia"/>
          <w:lang w:val="en-US" w:eastAsia="zh-CN"/>
        </w:rPr>
      </w:pPr>
    </w:p>
    <w:p w:rsidR="00472D05" w:rsidRPr="001C41B4" w:rsidRDefault="00472D05" w:rsidP="00B11BF7">
      <w:pPr>
        <w:pStyle w:val="LGTdoc1"/>
        <w:numPr>
          <w:ilvl w:val="0"/>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Discussion</w:t>
      </w:r>
    </w:p>
    <w:p w:rsidR="00243B61" w:rsidRPr="00243B61" w:rsidRDefault="00243B61" w:rsidP="00A96A55">
      <w:pPr>
        <w:pStyle w:val="LGTdoc1"/>
        <w:numPr>
          <w:ilvl w:val="1"/>
          <w:numId w:val="3"/>
        </w:numPr>
        <w:spacing w:beforeLines="0" w:before="120" w:after="0" w:afterAutospacing="0"/>
        <w:rPr>
          <w:rFonts w:eastAsia="SimSun"/>
          <w:lang w:val="en-US" w:eastAsia="zh-CN"/>
        </w:rPr>
      </w:pPr>
      <w:r w:rsidRPr="00243B61">
        <w:rPr>
          <w:rFonts w:ascii="Arial" w:eastAsiaTheme="minorEastAsia" w:hAnsi="Arial" w:cs="Arial" w:hint="eastAsia"/>
          <w:lang w:val="en-US" w:eastAsia="zh-CN"/>
        </w:rPr>
        <w:t xml:space="preserve">PUCCH resource collision </w:t>
      </w:r>
    </w:p>
    <w:p w:rsidR="00A96A55" w:rsidRDefault="00F36738" w:rsidP="00A96A55">
      <w:pPr>
        <w:pStyle w:val="LGTdoc0"/>
        <w:spacing w:before="120" w:afterLines="0" w:line="240" w:lineRule="auto"/>
        <w:rPr>
          <w:rFonts w:eastAsia="SimSun"/>
          <w:lang w:eastAsia="zh-CN"/>
        </w:rPr>
      </w:pPr>
      <w:r>
        <w:rPr>
          <w:rFonts w:eastAsia="SimSun" w:hint="eastAsia"/>
          <w:lang w:eastAsia="zh-CN"/>
        </w:rPr>
        <w:t xml:space="preserve">In LTE </w:t>
      </w:r>
      <w:r w:rsidR="007D6EDA">
        <w:rPr>
          <w:rFonts w:eastAsia="SimSun" w:hint="eastAsia"/>
          <w:lang w:eastAsia="zh-CN"/>
        </w:rPr>
        <w:t xml:space="preserve">system implicit PUCCH resource determination is applied for PUCCH format 1a and </w:t>
      </w:r>
      <w:r w:rsidR="00DB491B">
        <w:rPr>
          <w:rFonts w:eastAsia="SimSun"/>
          <w:lang w:eastAsia="zh-CN"/>
        </w:rPr>
        <w:t xml:space="preserve">PUCCH format </w:t>
      </w:r>
      <w:r w:rsidR="007D6EDA">
        <w:rPr>
          <w:rFonts w:eastAsia="SimSun" w:hint="eastAsia"/>
          <w:lang w:eastAsia="zh-CN"/>
        </w:rPr>
        <w:t xml:space="preserve">1b with channel selection and/or when PUCCH format 3 is used and UE only receives </w:t>
      </w:r>
      <w:r w:rsidR="00A96A55">
        <w:rPr>
          <w:rFonts w:eastAsia="SimSun" w:hint="eastAsia"/>
          <w:lang w:eastAsia="zh-CN"/>
        </w:rPr>
        <w:t xml:space="preserve">a PDCCH with DL DAI value equal to 1. For TDD, implicit resource allocation is further dependent on the UL-DL configuration. Hence, if different TDD UL-DL </w:t>
      </w:r>
      <w:r w:rsidR="00A96A55">
        <w:rPr>
          <w:rFonts w:eastAsia="SimSun"/>
          <w:lang w:eastAsia="zh-CN"/>
        </w:rPr>
        <w:t>configuration</w:t>
      </w:r>
      <w:r w:rsidR="00A96A55">
        <w:rPr>
          <w:rFonts w:eastAsia="SimSun" w:hint="eastAsia"/>
          <w:lang w:eastAsia="zh-CN"/>
        </w:rPr>
        <w:t xml:space="preserve">s are used as reference configuration to feedback HARQ-ACK for legacy and eIMTA UEs, HARQ-ACK resource collision may happen. </w:t>
      </w:r>
      <w:r w:rsidR="00A96A55" w:rsidRPr="00AD2FB5">
        <w:rPr>
          <w:rFonts w:eastAsia="SimSun"/>
          <w:lang w:eastAsia="zh-CN"/>
        </w:rPr>
        <w:t>F</w:t>
      </w:r>
      <w:r w:rsidR="00A96A55" w:rsidRPr="00AD2FB5">
        <w:rPr>
          <w:rFonts w:eastAsia="SimSun" w:hint="eastAsia"/>
          <w:lang w:eastAsia="zh-CN"/>
        </w:rPr>
        <w:t xml:space="preserve">or the example shown in Figure </w:t>
      </w:r>
      <w:r w:rsidR="00A96A55">
        <w:rPr>
          <w:rFonts w:eastAsia="SimSun" w:hint="eastAsia"/>
          <w:lang w:eastAsia="zh-CN"/>
        </w:rPr>
        <w:t>1</w:t>
      </w:r>
      <w:r w:rsidR="00A96A55" w:rsidRPr="00AD2FB5">
        <w:rPr>
          <w:rFonts w:eastAsia="SimSun" w:hint="eastAsia"/>
          <w:lang w:eastAsia="zh-CN"/>
        </w:rPr>
        <w:t xml:space="preserve">, the legacy UE is configured with TDD configuration 0 via SIB1 and the eIMTA UE is configured with TDD configuration 2 </w:t>
      </w:r>
      <w:r w:rsidR="00A96A55">
        <w:rPr>
          <w:rFonts w:eastAsia="SimSun" w:hint="eastAsia"/>
          <w:lang w:eastAsia="zh-CN"/>
        </w:rPr>
        <w:t>for determining the PUCCH resources</w:t>
      </w:r>
      <w:r w:rsidR="00A96A55" w:rsidRPr="00AD2FB5">
        <w:rPr>
          <w:rFonts w:eastAsia="SimSun" w:hint="eastAsia"/>
          <w:lang w:eastAsia="zh-CN"/>
        </w:rPr>
        <w:t xml:space="preserve">. </w:t>
      </w:r>
      <w:r w:rsidR="00A96A55">
        <w:rPr>
          <w:rFonts w:eastAsia="SimSun" w:hint="eastAsia"/>
          <w:lang w:eastAsia="zh-CN"/>
        </w:rPr>
        <w:t xml:space="preserve">In subframe #2, </w:t>
      </w:r>
      <w:r w:rsidR="00A96A55" w:rsidRPr="00AD2FB5">
        <w:rPr>
          <w:rFonts w:eastAsia="SimSun" w:hint="eastAsia"/>
          <w:lang w:eastAsia="zh-CN"/>
        </w:rPr>
        <w:t xml:space="preserve">eIMTA UE will send the bundled HARQ-ACK </w:t>
      </w:r>
      <w:r w:rsidR="00DB491B">
        <w:rPr>
          <w:rFonts w:eastAsia="SimSun"/>
          <w:lang w:eastAsia="zh-CN"/>
        </w:rPr>
        <w:t>for</w:t>
      </w:r>
      <w:r w:rsidR="00DB491B" w:rsidRPr="00AD2FB5">
        <w:rPr>
          <w:rFonts w:eastAsia="SimSun" w:hint="eastAsia"/>
          <w:lang w:eastAsia="zh-CN"/>
        </w:rPr>
        <w:t xml:space="preserve"> </w:t>
      </w:r>
      <w:r w:rsidR="00A96A55" w:rsidRPr="00AD2FB5">
        <w:rPr>
          <w:rFonts w:eastAsia="SimSun" w:hint="eastAsia"/>
          <w:lang w:eastAsia="zh-CN"/>
        </w:rPr>
        <w:t>DL subframe</w:t>
      </w:r>
      <w:r w:rsidR="00A96A55">
        <w:rPr>
          <w:rFonts w:eastAsia="SimSun"/>
          <w:lang w:eastAsia="zh-CN"/>
        </w:rPr>
        <w:t>s</w:t>
      </w:r>
      <w:r w:rsidR="00A96A55" w:rsidRPr="00AD2FB5">
        <w:rPr>
          <w:rFonts w:eastAsia="SimSun" w:hint="eastAsia"/>
          <w:lang w:eastAsia="zh-CN"/>
        </w:rPr>
        <w:t xml:space="preserve"> </w:t>
      </w:r>
      <w:r w:rsidR="00243B61">
        <w:rPr>
          <w:rFonts w:eastAsia="SimSun" w:hint="eastAsia"/>
          <w:lang w:eastAsia="zh-CN"/>
        </w:rPr>
        <w:t>#</w:t>
      </w:r>
      <w:r w:rsidR="00A96A55" w:rsidRPr="00AD2FB5">
        <w:rPr>
          <w:rFonts w:eastAsia="SimSun" w:hint="eastAsia"/>
          <w:lang w:eastAsia="zh-CN"/>
        </w:rPr>
        <w:t xml:space="preserve">4, </w:t>
      </w:r>
      <w:r w:rsidR="00243B61">
        <w:rPr>
          <w:rFonts w:eastAsia="SimSun" w:hint="eastAsia"/>
          <w:lang w:eastAsia="zh-CN"/>
        </w:rPr>
        <w:t>#</w:t>
      </w:r>
      <w:r w:rsidR="00A96A55" w:rsidRPr="00AD2FB5">
        <w:rPr>
          <w:rFonts w:eastAsia="SimSun" w:hint="eastAsia"/>
          <w:lang w:eastAsia="zh-CN"/>
        </w:rPr>
        <w:t xml:space="preserve">5, </w:t>
      </w:r>
      <w:r w:rsidR="00243B61">
        <w:rPr>
          <w:rFonts w:eastAsia="SimSun" w:hint="eastAsia"/>
          <w:lang w:eastAsia="zh-CN"/>
        </w:rPr>
        <w:t>#</w:t>
      </w:r>
      <w:r w:rsidR="00A96A55" w:rsidRPr="00AD2FB5">
        <w:rPr>
          <w:rFonts w:eastAsia="SimSun" w:hint="eastAsia"/>
          <w:lang w:eastAsia="zh-CN"/>
        </w:rPr>
        <w:t xml:space="preserve">6 and </w:t>
      </w:r>
      <w:r w:rsidR="00243B61">
        <w:rPr>
          <w:rFonts w:eastAsia="SimSun" w:hint="eastAsia"/>
          <w:lang w:eastAsia="zh-CN"/>
        </w:rPr>
        <w:t>#</w:t>
      </w:r>
      <w:r w:rsidR="00A96A55" w:rsidRPr="00AD2FB5">
        <w:rPr>
          <w:rFonts w:eastAsia="SimSun" w:hint="eastAsia"/>
          <w:lang w:eastAsia="zh-CN"/>
        </w:rPr>
        <w:t xml:space="preserve">8 and implicit PUCCH resources need to be </w:t>
      </w:r>
      <w:r w:rsidR="00A96A55">
        <w:rPr>
          <w:rFonts w:eastAsia="SimSun" w:hint="eastAsia"/>
          <w:lang w:eastAsia="zh-CN"/>
        </w:rPr>
        <w:t>reserved</w:t>
      </w:r>
      <w:r w:rsidR="00243B61">
        <w:rPr>
          <w:rFonts w:eastAsia="SimSun" w:hint="eastAsia"/>
          <w:lang w:eastAsia="zh-CN"/>
        </w:rPr>
        <w:t xml:space="preserve"> for </w:t>
      </w:r>
      <w:r w:rsidR="00A96A55" w:rsidRPr="00AD2FB5">
        <w:rPr>
          <w:rFonts w:eastAsia="SimSun" w:hint="eastAsia"/>
          <w:lang w:eastAsia="zh-CN"/>
        </w:rPr>
        <w:t xml:space="preserve">each of the 4 DL subframes. For legacy UE, </w:t>
      </w:r>
      <w:r w:rsidR="00A96A55">
        <w:rPr>
          <w:rFonts w:eastAsia="SimSun" w:hint="eastAsia"/>
          <w:lang w:eastAsia="zh-CN"/>
        </w:rPr>
        <w:t>the</w:t>
      </w:r>
      <w:r w:rsidR="00A96A55" w:rsidRPr="00AD2FB5">
        <w:rPr>
          <w:rFonts w:eastAsia="SimSun" w:hint="eastAsia"/>
          <w:lang w:eastAsia="zh-CN"/>
        </w:rPr>
        <w:t xml:space="preserve"> implicit PUCCH </w:t>
      </w:r>
      <w:r w:rsidR="00A96A55">
        <w:rPr>
          <w:rFonts w:eastAsia="SimSun" w:hint="eastAsia"/>
          <w:lang w:eastAsia="zh-CN"/>
        </w:rPr>
        <w:t xml:space="preserve">HARQ-ACK </w:t>
      </w:r>
      <w:r w:rsidR="00A96A55" w:rsidRPr="00AD2FB5">
        <w:rPr>
          <w:rFonts w:eastAsia="SimSun" w:hint="eastAsia"/>
          <w:lang w:eastAsia="zh-CN"/>
        </w:rPr>
        <w:t xml:space="preserve">resource for DL subframe </w:t>
      </w:r>
      <w:r w:rsidR="00243B61">
        <w:rPr>
          <w:rFonts w:eastAsia="SimSun" w:hint="eastAsia"/>
          <w:lang w:eastAsia="zh-CN"/>
        </w:rPr>
        <w:t>#</w:t>
      </w:r>
      <w:r w:rsidR="00A96A55" w:rsidRPr="00AD2FB5">
        <w:rPr>
          <w:rFonts w:eastAsia="SimSun" w:hint="eastAsia"/>
          <w:lang w:eastAsia="zh-CN"/>
        </w:rPr>
        <w:t xml:space="preserve">6 </w:t>
      </w:r>
      <w:r w:rsidR="00A96A55">
        <w:rPr>
          <w:rFonts w:eastAsia="SimSun" w:hint="eastAsia"/>
          <w:lang w:eastAsia="zh-CN"/>
        </w:rPr>
        <w:t xml:space="preserve">is allocated </w:t>
      </w:r>
      <w:r w:rsidR="00A96A55" w:rsidRPr="00AD2FB5">
        <w:rPr>
          <w:rFonts w:eastAsia="SimSun" w:hint="eastAsia"/>
          <w:lang w:eastAsia="zh-CN"/>
        </w:rPr>
        <w:t xml:space="preserve">in </w:t>
      </w:r>
      <w:r w:rsidR="00A96A55">
        <w:rPr>
          <w:rFonts w:eastAsia="SimSun"/>
          <w:lang w:eastAsia="zh-CN"/>
        </w:rPr>
        <w:t xml:space="preserve">the </w:t>
      </w:r>
      <w:r w:rsidR="00A96A55" w:rsidRPr="00AD2FB5">
        <w:rPr>
          <w:rFonts w:eastAsia="SimSun" w:hint="eastAsia"/>
          <w:lang w:eastAsia="zh-CN"/>
        </w:rPr>
        <w:t xml:space="preserve">same UL subframe according to </w:t>
      </w:r>
      <w:r w:rsidR="00A96A55">
        <w:rPr>
          <w:rFonts w:eastAsia="SimSun" w:hint="eastAsia"/>
          <w:lang w:eastAsia="zh-CN"/>
        </w:rPr>
        <w:t xml:space="preserve">the </w:t>
      </w:r>
      <w:r w:rsidR="00A96A55" w:rsidRPr="00AD2FB5">
        <w:rPr>
          <w:rFonts w:eastAsia="SimSun" w:hint="eastAsia"/>
          <w:lang w:eastAsia="zh-CN"/>
        </w:rPr>
        <w:t xml:space="preserve">SIB1 configuration 0. </w:t>
      </w:r>
      <w:r w:rsidR="00243B61">
        <w:rPr>
          <w:rFonts w:eastAsia="SimSun" w:hint="eastAsia"/>
          <w:lang w:eastAsia="zh-CN"/>
        </w:rPr>
        <w:t xml:space="preserve">Cleary, the same PUCCH resource </w:t>
      </w:r>
      <w:r w:rsidR="007B74F6">
        <w:rPr>
          <w:rFonts w:eastAsia="SimSun" w:hint="eastAsia"/>
          <w:lang w:eastAsia="zh-CN"/>
        </w:rPr>
        <w:t>may</w:t>
      </w:r>
      <w:r w:rsidR="00243B61">
        <w:rPr>
          <w:rFonts w:eastAsia="SimSun" w:hint="eastAsia"/>
          <w:lang w:eastAsia="zh-CN"/>
        </w:rPr>
        <w:t xml:space="preserve"> be allocated for legacy and eIMTA UEs according to the existing implicit PUCCH resource mapping mechanism. </w:t>
      </w:r>
    </w:p>
    <w:p w:rsidR="00243B61" w:rsidRPr="00AD2FB5" w:rsidRDefault="00243B61" w:rsidP="00243B61">
      <w:pPr>
        <w:pStyle w:val="LGTdoc0"/>
        <w:spacing w:before="120" w:afterLines="0" w:line="240" w:lineRule="auto"/>
        <w:jc w:val="center"/>
        <w:rPr>
          <w:rFonts w:eastAsia="SimSun"/>
          <w:lang w:eastAsia="zh-CN"/>
        </w:rPr>
      </w:pPr>
      <w:r>
        <w:object w:dxaOrig="7104" w:dyaOrig="1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15pt;height:95.1pt" o:ole="">
            <v:imagedata r:id="rId11" o:title=""/>
          </v:shape>
          <o:OLEObject Type="Embed" ProgID="Visio.Drawing.11" ShapeID="_x0000_i1025" DrawAspect="Content" ObjectID="_1444850143" r:id="rId12"/>
        </w:object>
      </w:r>
    </w:p>
    <w:p w:rsidR="00A96A55" w:rsidRDefault="00243B61" w:rsidP="00243B61">
      <w:pPr>
        <w:pStyle w:val="LGTdoc0"/>
        <w:spacing w:before="120" w:afterLines="0" w:line="240" w:lineRule="auto"/>
        <w:jc w:val="center"/>
        <w:rPr>
          <w:rFonts w:eastAsia="SimSun"/>
          <w:lang w:eastAsia="zh-CN"/>
        </w:rPr>
      </w:pPr>
      <w:r w:rsidRPr="005D31A1">
        <w:rPr>
          <w:rFonts w:eastAsia="SimSun" w:hint="eastAsia"/>
          <w:b/>
          <w:lang w:val="en-US" w:eastAsia="zh-CN"/>
        </w:rPr>
        <w:t xml:space="preserve">Figure </w:t>
      </w:r>
      <w:r>
        <w:rPr>
          <w:rFonts w:eastAsia="SimSun" w:hint="eastAsia"/>
          <w:b/>
          <w:lang w:val="en-US" w:eastAsia="zh-CN"/>
        </w:rPr>
        <w:t>1</w:t>
      </w:r>
      <w:r w:rsidRPr="005D31A1">
        <w:rPr>
          <w:rFonts w:eastAsia="SimSun" w:hint="eastAsia"/>
          <w:b/>
          <w:lang w:val="en-US" w:eastAsia="zh-CN"/>
        </w:rPr>
        <w:t>: PUCCH resource collision between legacy UE and eIMTA</w:t>
      </w:r>
    </w:p>
    <w:p w:rsidR="00243B61" w:rsidRPr="006F0D15" w:rsidRDefault="00243B61" w:rsidP="00243B61">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 xml:space="preserve">PUCCH resource mapping </w:t>
      </w:r>
      <w:r w:rsidR="00FF5200">
        <w:rPr>
          <w:rFonts w:ascii="Arial" w:eastAsiaTheme="minorEastAsia" w:hAnsi="Arial" w:cs="Arial" w:hint="eastAsia"/>
          <w:lang w:val="en-US" w:eastAsia="zh-CN"/>
        </w:rPr>
        <w:t>for PDCCH</w:t>
      </w:r>
    </w:p>
    <w:p w:rsidR="00A96A55" w:rsidRDefault="00243B61" w:rsidP="00F36738">
      <w:pPr>
        <w:pStyle w:val="LGTdoc0"/>
        <w:spacing w:before="120" w:afterLines="0" w:line="240" w:lineRule="auto"/>
        <w:rPr>
          <w:rFonts w:eastAsia="SimSun"/>
          <w:lang w:eastAsia="zh-CN"/>
        </w:rPr>
      </w:pPr>
      <w:r>
        <w:rPr>
          <w:rFonts w:eastAsia="SimSun" w:hint="eastAsia"/>
          <w:lang w:eastAsia="zh-CN"/>
        </w:rPr>
        <w:t>In this section, some candidate</w:t>
      </w:r>
      <w:r w:rsidR="00FF5200">
        <w:rPr>
          <w:rFonts w:eastAsia="SimSun" w:hint="eastAsia"/>
          <w:lang w:eastAsia="zh-CN"/>
        </w:rPr>
        <w:t>s</w:t>
      </w:r>
      <w:r>
        <w:rPr>
          <w:rFonts w:eastAsia="SimSun" w:hint="eastAsia"/>
          <w:lang w:eastAsia="zh-CN"/>
        </w:rPr>
        <w:t xml:space="preserve"> </w:t>
      </w:r>
      <w:r w:rsidR="00FF5200">
        <w:rPr>
          <w:rFonts w:eastAsia="SimSun" w:hint="eastAsia"/>
          <w:lang w:eastAsia="zh-CN"/>
        </w:rPr>
        <w:t xml:space="preserve">for PUCCH resource collision avoidance are addressed. Similar discussions were also given [1-7]. </w:t>
      </w:r>
    </w:p>
    <w:p w:rsidR="00FF5200" w:rsidRPr="00C3594A" w:rsidRDefault="00FF5200" w:rsidP="00F36738">
      <w:pPr>
        <w:pStyle w:val="LGTdoc0"/>
        <w:spacing w:before="120" w:afterLines="0" w:line="240" w:lineRule="auto"/>
        <w:rPr>
          <w:rFonts w:eastAsia="SimSun"/>
          <w:i/>
          <w:lang w:eastAsia="zh-CN"/>
        </w:rPr>
      </w:pPr>
      <w:r w:rsidRPr="00C3594A">
        <w:rPr>
          <w:rFonts w:eastAsia="SimSun" w:hint="eastAsia"/>
          <w:i/>
          <w:lang w:eastAsia="zh-CN"/>
        </w:rPr>
        <w:t xml:space="preserve">Option 1: </w:t>
      </w:r>
      <w:r w:rsidR="00CF5725" w:rsidRPr="00C3594A">
        <w:rPr>
          <w:rFonts w:eastAsia="SimSun" w:hint="eastAsia"/>
          <w:i/>
          <w:lang w:eastAsia="zh-CN"/>
        </w:rPr>
        <w:t>separate PUCCH resource region for legacy and eIMTA UEs</w:t>
      </w:r>
    </w:p>
    <w:p w:rsidR="00CF5725" w:rsidRDefault="006005AD" w:rsidP="00F36738">
      <w:pPr>
        <w:pStyle w:val="LGTdoc0"/>
        <w:spacing w:before="120" w:afterLines="0" w:line="240" w:lineRule="auto"/>
        <w:rPr>
          <w:rFonts w:eastAsia="SimSun"/>
          <w:lang w:eastAsia="zh-CN"/>
        </w:rPr>
      </w:pPr>
      <w:r>
        <w:rPr>
          <w:rFonts w:eastAsia="SimSun" w:hint="eastAsia"/>
          <w:lang w:eastAsia="zh-CN"/>
        </w:rPr>
        <w:t xml:space="preserve">The </w:t>
      </w:r>
      <w:r>
        <w:rPr>
          <w:rFonts w:eastAsia="SimSun"/>
          <w:lang w:eastAsia="zh-CN"/>
        </w:rPr>
        <w:t>simplest</w:t>
      </w:r>
      <w:r>
        <w:rPr>
          <w:rFonts w:eastAsia="SimSun" w:hint="eastAsia"/>
          <w:lang w:eastAsia="zh-CN"/>
        </w:rPr>
        <w:t xml:space="preserve"> way </w:t>
      </w:r>
      <w:r w:rsidR="00CF5725">
        <w:rPr>
          <w:rFonts w:eastAsia="SimSun"/>
          <w:lang w:eastAsia="zh-CN"/>
        </w:rPr>
        <w:t>to avoid PUCCH resource collisi</w:t>
      </w:r>
      <w:r>
        <w:rPr>
          <w:rFonts w:eastAsia="SimSun" w:hint="eastAsia"/>
          <w:lang w:eastAsia="zh-CN"/>
        </w:rPr>
        <w:t>on is to sep</w:t>
      </w:r>
      <w:r w:rsidR="0042430A">
        <w:rPr>
          <w:rFonts w:eastAsia="SimSun" w:hint="eastAsia"/>
          <w:lang w:eastAsia="zh-CN"/>
        </w:rPr>
        <w:t>arate the PUCCH resource region</w:t>
      </w:r>
      <w:r>
        <w:rPr>
          <w:rFonts w:eastAsia="SimSun" w:hint="eastAsia"/>
          <w:lang w:eastAsia="zh-CN"/>
        </w:rPr>
        <w:t xml:space="preserve"> for legacy and eIMTA UEs, e.g. by configuring a different starting offset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PUCCH</m:t>
            </m:r>
          </m:sub>
          <m:sup>
            <m:r>
              <m:rPr>
                <m:sty m:val="p"/>
              </m:rPr>
              <w:rPr>
                <w:rFonts w:ascii="Cambria Math" w:eastAsia="SimSun" w:hAnsi="Cambria Math"/>
                <w:lang w:eastAsia="zh-CN"/>
              </w:rPr>
              <m:t>(1)</m:t>
            </m:r>
          </m:sup>
        </m:sSubSup>
      </m:oMath>
      <w:r>
        <w:rPr>
          <w:rFonts w:eastAsia="SimSun" w:hint="eastAsia"/>
          <w:lang w:eastAsia="zh-CN"/>
        </w:rPr>
        <w:t xml:space="preserve"> for eIMTA UE. </w:t>
      </w:r>
      <w:r w:rsidR="00C3594A">
        <w:rPr>
          <w:rFonts w:eastAsia="SimSun" w:hint="eastAsia"/>
          <w:lang w:eastAsia="zh-CN"/>
        </w:rPr>
        <w:t xml:space="preserve">However, </w:t>
      </w:r>
      <w:r w:rsidR="00C3594A">
        <w:rPr>
          <w:rFonts w:eastAsia="SimSun" w:hint="eastAsia"/>
          <w:lang w:eastAsia="zh-CN"/>
        </w:rPr>
        <w:lastRenderedPageBreak/>
        <w:t xml:space="preserve">this solution will </w:t>
      </w:r>
      <w:r w:rsidR="00C3594A">
        <w:rPr>
          <w:rFonts w:eastAsia="SimSun"/>
          <w:lang w:eastAsia="zh-CN"/>
        </w:rPr>
        <w:t>introduce</w:t>
      </w:r>
      <w:r w:rsidR="00C3594A">
        <w:rPr>
          <w:rFonts w:eastAsia="SimSun" w:hint="eastAsia"/>
          <w:lang w:eastAsia="zh-CN"/>
        </w:rPr>
        <w:t xml:space="preserve"> unnecessary PUCCH resource overhead. For example, PUCCH resources for DL subframe</w:t>
      </w:r>
      <w:r>
        <w:rPr>
          <w:rFonts w:eastAsia="SimSun" w:hint="eastAsia"/>
          <w:lang w:eastAsia="zh-CN"/>
        </w:rPr>
        <w:t xml:space="preserve"> </w:t>
      </w:r>
      <w:r w:rsidR="00C3594A">
        <w:rPr>
          <w:rFonts w:eastAsia="SimSun" w:hint="eastAsia"/>
          <w:lang w:eastAsia="zh-CN"/>
        </w:rPr>
        <w:t xml:space="preserve">#6 are reserved twice. </w:t>
      </w:r>
      <w:r>
        <w:rPr>
          <w:rFonts w:eastAsia="SimSun" w:hint="eastAsia"/>
          <w:lang w:eastAsia="zh-CN"/>
        </w:rPr>
        <w:t xml:space="preserve"> </w:t>
      </w:r>
    </w:p>
    <w:p w:rsidR="00C3594A" w:rsidRPr="00C3594A" w:rsidRDefault="00C3594A" w:rsidP="00C3594A">
      <w:pPr>
        <w:pStyle w:val="LGTdoc0"/>
        <w:spacing w:before="120" w:afterLines="0" w:line="240" w:lineRule="auto"/>
        <w:rPr>
          <w:rFonts w:eastAsia="SimSun"/>
          <w:i/>
          <w:lang w:eastAsia="zh-CN"/>
        </w:rPr>
      </w:pPr>
      <w:r w:rsidRPr="00C3594A">
        <w:rPr>
          <w:rFonts w:eastAsia="SimSun" w:hint="eastAsia"/>
          <w:i/>
          <w:lang w:eastAsia="zh-CN"/>
        </w:rPr>
        <w:t xml:space="preserve">Option </w:t>
      </w:r>
      <w:r>
        <w:rPr>
          <w:rFonts w:eastAsia="SimSun" w:hint="eastAsia"/>
          <w:i/>
          <w:lang w:eastAsia="zh-CN"/>
        </w:rPr>
        <w:t>2</w:t>
      </w:r>
      <w:r w:rsidRPr="00C3594A">
        <w:rPr>
          <w:rFonts w:eastAsia="SimSun" w:hint="eastAsia"/>
          <w:i/>
          <w:lang w:eastAsia="zh-CN"/>
        </w:rPr>
        <w:t xml:space="preserve">: </w:t>
      </w:r>
      <w:r>
        <w:rPr>
          <w:rFonts w:eastAsia="SimSun" w:hint="eastAsia"/>
          <w:i/>
          <w:lang w:eastAsia="zh-CN"/>
        </w:rPr>
        <w:t xml:space="preserve">New </w:t>
      </w:r>
      <w:r>
        <w:rPr>
          <w:rFonts w:eastAsia="SimSun"/>
          <w:i/>
          <w:lang w:eastAsia="zh-CN"/>
        </w:rPr>
        <w:t>resource</w:t>
      </w:r>
      <w:r>
        <w:rPr>
          <w:rFonts w:eastAsia="SimSun" w:hint="eastAsia"/>
          <w:i/>
          <w:lang w:eastAsia="zh-CN"/>
        </w:rPr>
        <w:t xml:space="preserve"> </w:t>
      </w:r>
      <w:r>
        <w:rPr>
          <w:rFonts w:eastAsia="SimSun"/>
          <w:i/>
          <w:lang w:eastAsia="zh-CN"/>
        </w:rPr>
        <w:t>mapping</w:t>
      </w:r>
      <w:r>
        <w:rPr>
          <w:rFonts w:eastAsia="SimSun" w:hint="eastAsia"/>
          <w:i/>
          <w:lang w:eastAsia="zh-CN"/>
        </w:rPr>
        <w:t xml:space="preserve"> for eIMTA UEs</w:t>
      </w:r>
    </w:p>
    <w:p w:rsidR="00AF16FC" w:rsidRDefault="00C3594A" w:rsidP="00C3594A">
      <w:pPr>
        <w:pStyle w:val="LGTdoc0"/>
        <w:spacing w:before="120" w:afterLines="0" w:line="240" w:lineRule="auto"/>
        <w:rPr>
          <w:rFonts w:eastAsia="SimSun"/>
          <w:lang w:eastAsia="zh-CN"/>
        </w:rPr>
      </w:pPr>
      <w:r>
        <w:rPr>
          <w:rFonts w:eastAsia="SimSun" w:hint="eastAsia"/>
          <w:lang w:eastAsia="zh-CN"/>
        </w:rPr>
        <w:t xml:space="preserve">For common DL subframes </w:t>
      </w:r>
      <w:r w:rsidR="00644DCB">
        <w:rPr>
          <w:rFonts w:eastAsia="SimSun" w:hint="eastAsia"/>
          <w:lang w:eastAsia="zh-CN"/>
        </w:rPr>
        <w:t>between</w:t>
      </w:r>
      <w:r>
        <w:rPr>
          <w:rFonts w:eastAsia="SimSun" w:hint="eastAsia"/>
          <w:lang w:eastAsia="zh-CN"/>
        </w:rPr>
        <w:t xml:space="preserve"> the DL </w:t>
      </w:r>
      <w:r w:rsidR="00644DCB">
        <w:rPr>
          <w:rFonts w:eastAsia="SimSun"/>
          <w:lang w:eastAsia="zh-CN"/>
        </w:rPr>
        <w:t>association</w:t>
      </w:r>
      <w:r>
        <w:rPr>
          <w:rFonts w:eastAsia="SimSun" w:hint="eastAsia"/>
          <w:lang w:eastAsia="zh-CN"/>
        </w:rPr>
        <w:t xml:space="preserve"> set</w:t>
      </w:r>
      <w:r w:rsidR="00644DCB">
        <w:rPr>
          <w:rFonts w:eastAsia="SimSun" w:hint="eastAsia"/>
          <w:lang w:eastAsia="zh-CN"/>
        </w:rPr>
        <w:t>s</w:t>
      </w:r>
      <w:r>
        <w:rPr>
          <w:rFonts w:eastAsia="SimSun" w:hint="eastAsia"/>
          <w:lang w:eastAsia="zh-CN"/>
        </w:rPr>
        <w:t xml:space="preserve"> of legacy and eIMTA UEs, </w:t>
      </w:r>
      <w:r w:rsidR="00AF16FC">
        <w:rPr>
          <w:rFonts w:eastAsia="SimSun" w:hint="eastAsia"/>
          <w:lang w:eastAsia="zh-CN"/>
        </w:rPr>
        <w:t xml:space="preserve">single PUCCH resource region is reserved. Both legacy and eIMTA UEs will use the Rel-8 resource mapping rule to determine </w:t>
      </w:r>
      <w:r w:rsidR="00644DCB">
        <w:rPr>
          <w:rFonts w:eastAsia="SimSun" w:hint="eastAsia"/>
          <w:lang w:eastAsia="zh-CN"/>
        </w:rPr>
        <w:t xml:space="preserve">the PUCCH resource </w:t>
      </w:r>
      <w:r w:rsidR="00CD2C38">
        <w:rPr>
          <w:rFonts w:eastAsia="SimSun" w:hint="eastAsia"/>
          <w:lang w:eastAsia="zh-CN"/>
        </w:rPr>
        <w:t xml:space="preserve">e.g. under the same DL association set by the SIB1 UL-DL configuration. </w:t>
      </w:r>
      <w:r w:rsidR="00644DCB">
        <w:rPr>
          <w:rFonts w:eastAsia="SimSun" w:hint="eastAsia"/>
          <w:lang w:eastAsia="zh-CN"/>
        </w:rPr>
        <w:t xml:space="preserve">For the remaining DL subframes </w:t>
      </w:r>
      <w:r w:rsidR="008F438E">
        <w:rPr>
          <w:rFonts w:eastAsia="SimSun" w:hint="eastAsia"/>
          <w:lang w:eastAsia="zh-CN"/>
        </w:rPr>
        <w:t>in</w:t>
      </w:r>
      <w:r w:rsidR="00644DCB">
        <w:rPr>
          <w:rFonts w:eastAsia="SimSun" w:hint="eastAsia"/>
          <w:lang w:eastAsia="zh-CN"/>
        </w:rPr>
        <w:t xml:space="preserve"> the DL association set</w:t>
      </w:r>
      <w:r w:rsidR="00FA7020">
        <w:rPr>
          <w:rFonts w:eastAsia="SimSun" w:hint="eastAsia"/>
          <w:lang w:eastAsia="zh-CN"/>
        </w:rPr>
        <w:t xml:space="preserve"> </w:t>
      </w:r>
      <w:r w:rsidR="008F438E">
        <w:rPr>
          <w:rFonts w:eastAsia="SimSun" w:hint="eastAsia"/>
          <w:lang w:eastAsia="zh-CN"/>
        </w:rPr>
        <w:t>of</w:t>
      </w:r>
      <w:r w:rsidR="00FA7020">
        <w:rPr>
          <w:rFonts w:eastAsia="SimSun" w:hint="eastAsia"/>
          <w:lang w:eastAsia="zh-CN"/>
        </w:rPr>
        <w:t xml:space="preserve"> DL reference configuration</w:t>
      </w:r>
      <w:r w:rsidR="00644DCB">
        <w:rPr>
          <w:rFonts w:eastAsia="SimSun" w:hint="eastAsia"/>
          <w:lang w:eastAsia="zh-CN"/>
        </w:rPr>
        <w:t xml:space="preserve">, a new PUCCH resource region is defined which </w:t>
      </w:r>
      <w:r w:rsidR="00CD2C38">
        <w:rPr>
          <w:rFonts w:eastAsia="SimSun" w:hint="eastAsia"/>
          <w:lang w:eastAsia="zh-CN"/>
        </w:rPr>
        <w:t xml:space="preserve">is block interleaved by the same scheme of Rel-8. </w:t>
      </w:r>
      <w:r w:rsidR="00FA7020">
        <w:rPr>
          <w:rFonts w:eastAsia="SimSun" w:hint="eastAsia"/>
          <w:lang w:eastAsia="zh-CN"/>
        </w:rPr>
        <w:t xml:space="preserve">As shown in Figure 2, PUCCH resource region for DL subframe #4, #5 and #8 are </w:t>
      </w:r>
      <w:r w:rsidR="008F438E">
        <w:rPr>
          <w:rFonts w:eastAsia="SimSun" w:hint="eastAsia"/>
          <w:lang w:eastAsia="zh-CN"/>
        </w:rPr>
        <w:t>allocated</w:t>
      </w:r>
      <w:r w:rsidR="00FA7020">
        <w:rPr>
          <w:rFonts w:eastAsia="SimSun" w:hint="eastAsia"/>
          <w:lang w:eastAsia="zh-CN"/>
        </w:rPr>
        <w:t xml:space="preserve"> separately for eIMTA UEs. The starting offset for new resource region can be signalled</w:t>
      </w:r>
      <w:r w:rsidR="002B5D5E">
        <w:rPr>
          <w:rFonts w:eastAsia="SimSun" w:hint="eastAsia"/>
          <w:lang w:eastAsia="zh-CN"/>
        </w:rPr>
        <w:t xml:space="preserve"> </w:t>
      </w:r>
      <w:r w:rsidR="00FA7020">
        <w:rPr>
          <w:rFonts w:eastAsia="SimSun" w:hint="eastAsia"/>
          <w:lang w:eastAsia="zh-CN"/>
        </w:rPr>
        <w:t xml:space="preserve">or </w:t>
      </w:r>
      <w:r w:rsidR="002B5D5E">
        <w:rPr>
          <w:rFonts w:eastAsia="SimSun" w:hint="eastAsia"/>
          <w:lang w:eastAsia="zh-CN"/>
        </w:rPr>
        <w:t>implicitly determined based on the assumption that the new resource region is located next to the legacy PUCCH resource region. The implicit determination of the starting offset has the benefit</w:t>
      </w:r>
      <w:r w:rsidR="00E56914">
        <w:rPr>
          <w:rFonts w:eastAsia="SimSun" w:hint="eastAsia"/>
          <w:lang w:eastAsia="zh-CN"/>
        </w:rPr>
        <w:t xml:space="preserve"> </w:t>
      </w:r>
      <w:r w:rsidR="004B40B1">
        <w:rPr>
          <w:rFonts w:eastAsia="SimSun" w:hint="eastAsia"/>
          <w:lang w:eastAsia="zh-CN"/>
        </w:rPr>
        <w:t>at certain scenario</w:t>
      </w:r>
      <w:r w:rsidR="00E56914">
        <w:rPr>
          <w:rFonts w:eastAsia="SimSun" w:hint="eastAsia"/>
          <w:lang w:eastAsia="zh-CN"/>
        </w:rPr>
        <w:t xml:space="preserve">. For example, </w:t>
      </w:r>
      <w:r w:rsidR="0042430A">
        <w:rPr>
          <w:rFonts w:eastAsia="SimSun" w:hint="eastAsia"/>
          <w:lang w:eastAsia="zh-CN"/>
        </w:rPr>
        <w:t xml:space="preserve">when the SIB1 configuration is </w:t>
      </w:r>
      <w:r w:rsidR="00E56914">
        <w:rPr>
          <w:rFonts w:eastAsia="SimSun" w:hint="eastAsia"/>
          <w:lang w:eastAsia="zh-CN"/>
        </w:rPr>
        <w:t xml:space="preserve">0 and the DL reference </w:t>
      </w:r>
      <w:r w:rsidR="00E56914">
        <w:rPr>
          <w:rFonts w:eastAsia="SimSun"/>
          <w:lang w:eastAsia="zh-CN"/>
        </w:rPr>
        <w:t>configuration</w:t>
      </w:r>
      <w:r w:rsidR="0042430A">
        <w:rPr>
          <w:rFonts w:eastAsia="SimSun" w:hint="eastAsia"/>
          <w:lang w:eastAsia="zh-CN"/>
        </w:rPr>
        <w:t xml:space="preserve"> is </w:t>
      </w:r>
      <w:r w:rsidR="00E56914">
        <w:rPr>
          <w:rFonts w:eastAsia="SimSun" w:hint="eastAsia"/>
          <w:lang w:eastAsia="zh-CN"/>
        </w:rPr>
        <w:t xml:space="preserve">4 there is no legacy PUCCH </w:t>
      </w:r>
      <w:r w:rsidR="00E56914">
        <w:rPr>
          <w:rFonts w:eastAsia="SimSun"/>
          <w:lang w:eastAsia="zh-CN"/>
        </w:rPr>
        <w:t>resource</w:t>
      </w:r>
      <w:r w:rsidR="00E56914">
        <w:rPr>
          <w:rFonts w:eastAsia="SimSun" w:hint="eastAsia"/>
          <w:lang w:eastAsia="zh-CN"/>
        </w:rPr>
        <w:t xml:space="preserve"> region in UL subframe #3 and the </w:t>
      </w:r>
      <w:r w:rsidR="0042430A">
        <w:rPr>
          <w:rFonts w:eastAsia="SimSun" w:hint="eastAsia"/>
          <w:lang w:eastAsia="zh-CN"/>
        </w:rPr>
        <w:t xml:space="preserve">implicit determination of the </w:t>
      </w:r>
      <w:r w:rsidR="00E56914">
        <w:rPr>
          <w:rFonts w:eastAsia="SimSun" w:hint="eastAsia"/>
          <w:lang w:eastAsia="zh-CN"/>
        </w:rPr>
        <w:t xml:space="preserve">starting offset </w:t>
      </w:r>
      <w:r w:rsidR="0042430A">
        <w:rPr>
          <w:rFonts w:eastAsia="SimSun" w:hint="eastAsia"/>
          <w:lang w:eastAsia="zh-CN"/>
        </w:rPr>
        <w:t xml:space="preserve">will assume zero offset for </w:t>
      </w:r>
      <w:r w:rsidR="00E56914">
        <w:rPr>
          <w:rFonts w:eastAsia="SimSun" w:hint="eastAsia"/>
          <w:lang w:eastAsia="zh-CN"/>
        </w:rPr>
        <w:t xml:space="preserve">new </w:t>
      </w:r>
      <w:r w:rsidR="004B40B1">
        <w:rPr>
          <w:rFonts w:eastAsia="SimSun" w:hint="eastAsia"/>
          <w:lang w:eastAsia="zh-CN"/>
        </w:rPr>
        <w:t xml:space="preserve">PUCCH </w:t>
      </w:r>
      <w:r w:rsidR="00E56914">
        <w:rPr>
          <w:rFonts w:eastAsia="SimSun" w:hint="eastAsia"/>
          <w:lang w:eastAsia="zh-CN"/>
        </w:rPr>
        <w:t xml:space="preserve">resource region </w:t>
      </w:r>
      <w:r w:rsidR="0042430A">
        <w:rPr>
          <w:rFonts w:eastAsia="SimSun" w:hint="eastAsia"/>
          <w:lang w:eastAsia="zh-CN"/>
        </w:rPr>
        <w:t>thus</w:t>
      </w:r>
      <w:r w:rsidR="00E56914">
        <w:rPr>
          <w:rFonts w:eastAsia="SimSun" w:hint="eastAsia"/>
          <w:lang w:eastAsia="zh-CN"/>
        </w:rPr>
        <w:t xml:space="preserve"> </w:t>
      </w:r>
      <w:r w:rsidR="0042430A">
        <w:rPr>
          <w:rFonts w:eastAsia="SimSun" w:hint="eastAsia"/>
          <w:lang w:eastAsia="zh-CN"/>
        </w:rPr>
        <w:t xml:space="preserve">saving PUCCH overhead in subframe </w:t>
      </w:r>
      <w:r w:rsidR="00E56914">
        <w:rPr>
          <w:rFonts w:eastAsia="SimSun" w:hint="eastAsia"/>
          <w:lang w:eastAsia="zh-CN"/>
        </w:rPr>
        <w:t xml:space="preserve">#3. </w:t>
      </w:r>
    </w:p>
    <w:p w:rsidR="00C3594A" w:rsidRDefault="00FA7020" w:rsidP="00C3594A">
      <w:pPr>
        <w:pStyle w:val="LGTdoc0"/>
        <w:spacing w:before="120" w:afterLines="0" w:line="240" w:lineRule="auto"/>
        <w:rPr>
          <w:rFonts w:eastAsia="SimSun"/>
          <w:lang w:eastAsia="zh-CN"/>
        </w:rPr>
      </w:pPr>
      <w:r>
        <w:rPr>
          <w:rFonts w:eastAsia="SimSun" w:hint="eastAsia"/>
          <w:lang w:eastAsia="zh-CN"/>
        </w:rPr>
        <w:t xml:space="preserve">Compared to </w:t>
      </w:r>
      <w:r w:rsidR="00C3594A">
        <w:rPr>
          <w:rFonts w:eastAsia="SimSun" w:hint="eastAsia"/>
          <w:lang w:eastAsia="zh-CN"/>
        </w:rPr>
        <w:t xml:space="preserve">Option 1, </w:t>
      </w:r>
      <w:r>
        <w:rPr>
          <w:rFonts w:eastAsia="SimSun" w:hint="eastAsia"/>
          <w:lang w:eastAsia="zh-CN"/>
        </w:rPr>
        <w:t xml:space="preserve">this </w:t>
      </w:r>
      <w:r>
        <w:rPr>
          <w:rFonts w:eastAsia="SimSun"/>
          <w:lang w:eastAsia="zh-CN"/>
        </w:rPr>
        <w:t>solution</w:t>
      </w:r>
      <w:r>
        <w:rPr>
          <w:rFonts w:eastAsia="SimSun" w:hint="eastAsia"/>
          <w:lang w:eastAsia="zh-CN"/>
        </w:rPr>
        <w:t xml:space="preserve"> provides higher resource utilization since only one </w:t>
      </w:r>
      <w:r w:rsidR="00C3594A">
        <w:rPr>
          <w:rFonts w:eastAsia="SimSun" w:hint="eastAsia"/>
          <w:lang w:eastAsia="zh-CN"/>
        </w:rPr>
        <w:t xml:space="preserve">PUCCH resource region is reserved for common DL subframes. </w:t>
      </w:r>
      <w:r>
        <w:rPr>
          <w:rFonts w:eastAsia="SimSun" w:hint="eastAsia"/>
          <w:lang w:eastAsia="zh-CN"/>
        </w:rPr>
        <w:t xml:space="preserve">However, PUCCH resources are reserved for all the DL subframes of the </w:t>
      </w:r>
      <w:r w:rsidR="00B21048">
        <w:rPr>
          <w:rFonts w:eastAsia="SimSun" w:hint="eastAsia"/>
          <w:lang w:eastAsia="zh-CN"/>
        </w:rPr>
        <w:t xml:space="preserve">DL reference configuration. If some of the DL subframes are used as UL subframes the PUCCH resource for these subframes </w:t>
      </w:r>
      <w:r w:rsidR="00B21048">
        <w:rPr>
          <w:rFonts w:eastAsia="SimSun"/>
          <w:lang w:eastAsia="zh-CN"/>
        </w:rPr>
        <w:t>cannot</w:t>
      </w:r>
      <w:r w:rsidR="00B21048">
        <w:rPr>
          <w:rFonts w:eastAsia="SimSun" w:hint="eastAsia"/>
          <w:lang w:eastAsia="zh-CN"/>
        </w:rPr>
        <w:t xml:space="preserve"> be released for PUSCH transmission. Therefore, the PUCCH resource mapping can be further optimized by including only the actual used DL subframes </w:t>
      </w:r>
      <w:r w:rsidR="00E56914">
        <w:rPr>
          <w:rFonts w:eastAsia="SimSun" w:hint="eastAsia"/>
          <w:lang w:eastAsia="zh-CN"/>
        </w:rPr>
        <w:t>according to</w:t>
      </w:r>
      <w:r w:rsidR="00B21048">
        <w:rPr>
          <w:rFonts w:eastAsia="SimSun" w:hint="eastAsia"/>
          <w:lang w:eastAsia="zh-CN"/>
        </w:rPr>
        <w:t xml:space="preserve"> the dynamic UL-DL configuration</w:t>
      </w:r>
      <w:r w:rsidR="004D3DD0">
        <w:rPr>
          <w:rFonts w:eastAsia="SimSun" w:hint="eastAsia"/>
          <w:lang w:eastAsia="zh-CN"/>
        </w:rPr>
        <w:t xml:space="preserve"> as given by Option 2a in Figure 2</w:t>
      </w:r>
      <w:r w:rsidR="00B21048">
        <w:rPr>
          <w:rFonts w:eastAsia="SimSun" w:hint="eastAsia"/>
          <w:lang w:eastAsia="zh-CN"/>
        </w:rPr>
        <w:t xml:space="preserve">. In other words, the DL association set for new resource region is dynamically determined from the actually used UL-DL configuration thus no PUCCH resource reserved for the DL subframes </w:t>
      </w:r>
      <w:r w:rsidR="0042430A">
        <w:rPr>
          <w:rFonts w:eastAsia="SimSun" w:hint="eastAsia"/>
          <w:lang w:eastAsia="zh-CN"/>
        </w:rPr>
        <w:t>which</w:t>
      </w:r>
      <w:r w:rsidR="00E56914">
        <w:rPr>
          <w:rFonts w:eastAsia="SimSun" w:hint="eastAsia"/>
          <w:lang w:eastAsia="zh-CN"/>
        </w:rPr>
        <w:t xml:space="preserve"> </w:t>
      </w:r>
      <w:r w:rsidR="00462F81">
        <w:rPr>
          <w:rFonts w:eastAsia="SimSun" w:hint="eastAsia"/>
          <w:lang w:eastAsia="zh-CN"/>
        </w:rPr>
        <w:t>have been</w:t>
      </w:r>
      <w:r w:rsidR="00E56914">
        <w:rPr>
          <w:rFonts w:eastAsia="SimSun" w:hint="eastAsia"/>
          <w:lang w:eastAsia="zh-CN"/>
        </w:rPr>
        <w:t xml:space="preserve"> </w:t>
      </w:r>
      <w:r w:rsidR="00B21048">
        <w:rPr>
          <w:rFonts w:eastAsia="SimSun" w:hint="eastAsia"/>
          <w:lang w:eastAsia="zh-CN"/>
        </w:rPr>
        <w:t xml:space="preserve">reconfigured to UL subframes. </w:t>
      </w:r>
    </w:p>
    <w:p w:rsidR="00B21048" w:rsidRDefault="00B21048" w:rsidP="00B21048">
      <w:pPr>
        <w:pStyle w:val="LGTdoc0"/>
        <w:spacing w:before="120" w:afterLines="0" w:line="240" w:lineRule="auto"/>
        <w:rPr>
          <w:rFonts w:eastAsia="SimSun"/>
          <w:i/>
          <w:lang w:eastAsia="zh-CN"/>
        </w:rPr>
      </w:pPr>
      <w:r w:rsidRPr="00C3594A">
        <w:rPr>
          <w:rFonts w:eastAsia="SimSun" w:hint="eastAsia"/>
          <w:i/>
          <w:lang w:eastAsia="zh-CN"/>
        </w:rPr>
        <w:t xml:space="preserve">Option </w:t>
      </w:r>
      <w:r>
        <w:rPr>
          <w:rFonts w:eastAsia="SimSun" w:hint="eastAsia"/>
          <w:i/>
          <w:lang w:eastAsia="zh-CN"/>
        </w:rPr>
        <w:t>3</w:t>
      </w:r>
      <w:r w:rsidRPr="00C3594A">
        <w:rPr>
          <w:rFonts w:eastAsia="SimSun" w:hint="eastAsia"/>
          <w:i/>
          <w:lang w:eastAsia="zh-CN"/>
        </w:rPr>
        <w:t xml:space="preserve">: </w:t>
      </w:r>
      <w:r>
        <w:rPr>
          <w:rFonts w:eastAsia="SimSun" w:hint="eastAsia"/>
          <w:i/>
          <w:lang w:eastAsia="zh-CN"/>
        </w:rPr>
        <w:t>different PUCCH resource region for fixed DL and flexible DL subframes</w:t>
      </w:r>
    </w:p>
    <w:p w:rsidR="002B5D5E" w:rsidRDefault="008F438E" w:rsidP="00A95F3E">
      <w:pPr>
        <w:pStyle w:val="LGTdoc0"/>
        <w:spacing w:before="120" w:afterLines="0" w:line="240" w:lineRule="auto"/>
        <w:rPr>
          <w:rFonts w:eastAsia="SimSun"/>
          <w:lang w:eastAsia="zh-CN"/>
        </w:rPr>
      </w:pPr>
      <w:r>
        <w:rPr>
          <w:rFonts w:eastAsia="SimSun" w:hint="eastAsia"/>
          <w:lang w:eastAsia="zh-CN"/>
        </w:rPr>
        <w:t xml:space="preserve">This solution was </w:t>
      </w:r>
      <w:r>
        <w:rPr>
          <w:rFonts w:eastAsia="SimSun"/>
          <w:lang w:eastAsia="zh-CN"/>
        </w:rPr>
        <w:t>described</w:t>
      </w:r>
      <w:r>
        <w:rPr>
          <w:rFonts w:eastAsia="SimSun" w:hint="eastAsia"/>
          <w:lang w:eastAsia="zh-CN"/>
        </w:rPr>
        <w:t xml:space="preserve"> as Option 3 in paper [</w:t>
      </w:r>
      <w:r w:rsidR="0042430A">
        <w:rPr>
          <w:rFonts w:eastAsia="SimSun" w:hint="eastAsia"/>
          <w:lang w:eastAsia="zh-CN"/>
        </w:rPr>
        <w:t>4</w:t>
      </w:r>
      <w:r>
        <w:rPr>
          <w:rFonts w:eastAsia="SimSun" w:hint="eastAsia"/>
          <w:lang w:eastAsia="zh-CN"/>
        </w:rPr>
        <w:t xml:space="preserve">]. </w:t>
      </w:r>
      <w:r w:rsidR="002F278F">
        <w:rPr>
          <w:rFonts w:eastAsia="SimSun" w:hint="eastAsia"/>
          <w:lang w:eastAsia="zh-CN"/>
        </w:rPr>
        <w:t>Compared to Option 2, the fixed DL subframe in the DL association set of the DL reference configuration is</w:t>
      </w:r>
      <w:r w:rsidR="002B5D5E">
        <w:rPr>
          <w:rFonts w:eastAsia="SimSun" w:hint="eastAsia"/>
          <w:lang w:eastAsia="zh-CN"/>
        </w:rPr>
        <w:t xml:space="preserve"> </w:t>
      </w:r>
      <w:r w:rsidR="002B5D5E">
        <w:rPr>
          <w:rFonts w:eastAsia="SimSun"/>
          <w:lang w:eastAsia="zh-CN"/>
        </w:rPr>
        <w:t>allocated</w:t>
      </w:r>
      <w:r w:rsidR="002B5D5E">
        <w:rPr>
          <w:rFonts w:eastAsia="SimSun" w:hint="eastAsia"/>
          <w:lang w:eastAsia="zh-CN"/>
        </w:rPr>
        <w:t xml:space="preserve"> firstly and followed by resources for flexible DL subframes. The main benefit for such mapping is that the PUCCH resources for flexible DL subframes can be allocated to PUSCH if flexible subframes are used as UL subframes. However, some drawbacks are also observed. </w:t>
      </w:r>
      <w:r w:rsidR="004B40B1">
        <w:rPr>
          <w:rFonts w:eastAsia="SimSun" w:hint="eastAsia"/>
          <w:lang w:eastAsia="zh-CN"/>
        </w:rPr>
        <w:t>For example,</w:t>
      </w:r>
      <w:r w:rsidR="002B5D5E">
        <w:rPr>
          <w:rFonts w:eastAsia="SimSun" w:hint="eastAsia"/>
          <w:lang w:eastAsia="zh-CN"/>
        </w:rPr>
        <w:t xml:space="preserve"> the block interleaving can only be applied </w:t>
      </w:r>
      <w:r w:rsidR="004B40B1">
        <w:rPr>
          <w:rFonts w:eastAsia="SimSun" w:hint="eastAsia"/>
          <w:lang w:eastAsia="zh-CN"/>
        </w:rPr>
        <w:t>with fixed DL subframes and flexile DL subframes respectively as shown in Figure 2. That is, when the number of PDCCH symbols in DL subframe #5 is less than three, the 3</w:t>
      </w:r>
      <w:r w:rsidR="004B40B1" w:rsidRPr="004B40B1">
        <w:rPr>
          <w:rFonts w:eastAsia="SimSun" w:hint="eastAsia"/>
          <w:vertAlign w:val="superscript"/>
          <w:lang w:eastAsia="zh-CN"/>
        </w:rPr>
        <w:t>rd</w:t>
      </w:r>
      <w:r w:rsidR="004B40B1">
        <w:rPr>
          <w:rFonts w:eastAsia="SimSun" w:hint="eastAsia"/>
          <w:lang w:eastAsia="zh-CN"/>
        </w:rPr>
        <w:t xml:space="preserve"> part of PUCCH resource for DL subframe #5 cannot be used for PUSCH resulting in inefficient resource utilization.</w:t>
      </w:r>
    </w:p>
    <w:p w:rsidR="00462F81" w:rsidRDefault="00462F81" w:rsidP="00462F81">
      <w:pPr>
        <w:pStyle w:val="LGTdoc0"/>
        <w:spacing w:before="120" w:afterLines="0" w:line="240" w:lineRule="auto"/>
        <w:rPr>
          <w:rFonts w:eastAsia="SimSun"/>
          <w:i/>
          <w:lang w:eastAsia="zh-CN"/>
        </w:rPr>
      </w:pPr>
      <w:r w:rsidRPr="00C3594A">
        <w:rPr>
          <w:rFonts w:eastAsia="SimSun" w:hint="eastAsia"/>
          <w:i/>
          <w:lang w:eastAsia="zh-CN"/>
        </w:rPr>
        <w:t xml:space="preserve">Option </w:t>
      </w:r>
      <w:r>
        <w:rPr>
          <w:rFonts w:eastAsia="SimSun" w:hint="eastAsia"/>
          <w:i/>
          <w:lang w:eastAsia="zh-CN"/>
        </w:rPr>
        <w:t>4</w:t>
      </w:r>
      <w:r w:rsidRPr="00C3594A">
        <w:rPr>
          <w:rFonts w:eastAsia="SimSun" w:hint="eastAsia"/>
          <w:i/>
          <w:lang w:eastAsia="zh-CN"/>
        </w:rPr>
        <w:t xml:space="preserve">: </w:t>
      </w:r>
      <w:r>
        <w:rPr>
          <w:rFonts w:eastAsia="SimSun" w:hint="eastAsia"/>
          <w:i/>
          <w:lang w:eastAsia="zh-CN"/>
        </w:rPr>
        <w:t>Explicit resource allocation for eIMTA UEs</w:t>
      </w:r>
    </w:p>
    <w:p w:rsidR="00462F81" w:rsidRDefault="00462F81" w:rsidP="0070498A">
      <w:pPr>
        <w:pStyle w:val="LGTdoc0"/>
        <w:spacing w:before="120" w:afterLines="0" w:line="240" w:lineRule="auto"/>
        <w:rPr>
          <w:rFonts w:eastAsia="SimSun"/>
          <w:lang w:eastAsia="zh-CN"/>
        </w:rPr>
      </w:pPr>
      <w:r>
        <w:rPr>
          <w:rFonts w:eastAsia="SimSun" w:hint="eastAsia"/>
          <w:lang w:eastAsia="zh-CN"/>
        </w:rPr>
        <w:t xml:space="preserve">In this solution, the PUCCH resources for eIMTA UEs are explicitly </w:t>
      </w:r>
      <w:r>
        <w:rPr>
          <w:rFonts w:eastAsia="SimSun"/>
          <w:lang w:eastAsia="zh-CN"/>
        </w:rPr>
        <w:t>signalled</w:t>
      </w:r>
      <w:r>
        <w:rPr>
          <w:rFonts w:eastAsia="SimSun" w:hint="eastAsia"/>
          <w:lang w:eastAsia="zh-CN"/>
        </w:rPr>
        <w:t xml:space="preserve">. eNB can configure orthogonal resources for eIMTA UEs via higher layer </w:t>
      </w:r>
      <w:r>
        <w:rPr>
          <w:rFonts w:eastAsia="SimSun"/>
          <w:lang w:eastAsia="zh-CN"/>
        </w:rPr>
        <w:t>signalling</w:t>
      </w:r>
      <w:r>
        <w:rPr>
          <w:rFonts w:eastAsia="SimSun" w:hint="eastAsia"/>
          <w:lang w:eastAsia="zh-CN"/>
        </w:rPr>
        <w:t xml:space="preserve"> to avoid resource collision with legacy UEs.  </w:t>
      </w:r>
      <w:r w:rsidR="0042430A">
        <w:rPr>
          <w:rFonts w:eastAsia="SimSun" w:hint="eastAsia"/>
          <w:lang w:eastAsia="zh-CN"/>
        </w:rPr>
        <w:t xml:space="preserve">Furthermore, </w:t>
      </w:r>
      <w:r w:rsidR="0070498A">
        <w:rPr>
          <w:rFonts w:eastAsia="SimSun" w:hint="eastAsia"/>
          <w:lang w:eastAsia="zh-CN"/>
        </w:rPr>
        <w:t xml:space="preserve">it </w:t>
      </w:r>
      <w:r w:rsidR="0042430A">
        <w:rPr>
          <w:rFonts w:eastAsia="SimSun" w:hint="eastAsia"/>
          <w:lang w:eastAsia="zh-CN"/>
        </w:rPr>
        <w:t xml:space="preserve">can be optimized </w:t>
      </w:r>
      <w:r w:rsidR="0070498A">
        <w:rPr>
          <w:rFonts w:eastAsia="SimSun" w:hint="eastAsia"/>
          <w:lang w:eastAsia="zh-CN"/>
        </w:rPr>
        <w:t xml:space="preserve">to assign explicit resources only for the DL subframes that are not common between two DL association sets with implicit resource allocation </w:t>
      </w:r>
      <w:r w:rsidR="00592939">
        <w:rPr>
          <w:rFonts w:eastAsia="SimSun" w:hint="eastAsia"/>
          <w:lang w:eastAsia="zh-CN"/>
        </w:rPr>
        <w:t xml:space="preserve">used </w:t>
      </w:r>
      <w:r w:rsidR="0070498A">
        <w:rPr>
          <w:rFonts w:eastAsia="SimSun" w:hint="eastAsia"/>
          <w:lang w:eastAsia="zh-CN"/>
        </w:rPr>
        <w:t>for common DL subframes</w:t>
      </w:r>
      <w:r w:rsidR="00592939">
        <w:rPr>
          <w:rFonts w:eastAsia="SimSun" w:hint="eastAsia"/>
          <w:lang w:eastAsia="zh-CN"/>
        </w:rPr>
        <w:t xml:space="preserve">. However, </w:t>
      </w:r>
      <w:r w:rsidR="0070498A">
        <w:rPr>
          <w:rFonts w:eastAsia="SimSun" w:hint="eastAsia"/>
          <w:lang w:eastAsia="zh-CN"/>
        </w:rPr>
        <w:t xml:space="preserve">the overhead </w:t>
      </w:r>
      <w:r w:rsidR="00592939">
        <w:rPr>
          <w:rFonts w:eastAsia="SimSun" w:hint="eastAsia"/>
          <w:lang w:eastAsia="zh-CN"/>
        </w:rPr>
        <w:t xml:space="preserve">is </w:t>
      </w:r>
      <w:r w:rsidR="009741C1">
        <w:rPr>
          <w:rFonts w:eastAsia="SimSun" w:hint="eastAsia"/>
          <w:lang w:eastAsia="zh-CN"/>
        </w:rPr>
        <w:t xml:space="preserve">still </w:t>
      </w:r>
      <w:r w:rsidR="00592939">
        <w:rPr>
          <w:rFonts w:eastAsia="SimSun" w:hint="eastAsia"/>
          <w:lang w:eastAsia="zh-CN"/>
        </w:rPr>
        <w:t xml:space="preserve">large, especially when UL-DL configuration </w:t>
      </w:r>
      <w:r w:rsidR="0070498A">
        <w:rPr>
          <w:rFonts w:eastAsia="SimSun" w:hint="eastAsia"/>
          <w:lang w:eastAsia="zh-CN"/>
        </w:rPr>
        <w:t>5 is configured as DL HARQ reference configuration</w:t>
      </w:r>
      <w:r w:rsidR="00592939">
        <w:rPr>
          <w:rFonts w:eastAsia="SimSun" w:hint="eastAsia"/>
          <w:lang w:eastAsia="zh-CN"/>
        </w:rPr>
        <w:t>. In such case</w:t>
      </w:r>
      <w:r w:rsidR="0070498A">
        <w:rPr>
          <w:rFonts w:eastAsia="SimSun" w:hint="eastAsia"/>
          <w:lang w:eastAsia="zh-CN"/>
        </w:rPr>
        <w:t xml:space="preserve"> up to 8 resources need to be reserved</w:t>
      </w:r>
      <w:r w:rsidR="00592939">
        <w:rPr>
          <w:rFonts w:eastAsia="SimSun" w:hint="eastAsia"/>
          <w:lang w:eastAsia="zh-CN"/>
        </w:rPr>
        <w:t xml:space="preserve"> for each eIMTA UE</w:t>
      </w:r>
      <w:r w:rsidR="0070498A">
        <w:rPr>
          <w:rFonts w:eastAsia="SimSun" w:hint="eastAsia"/>
          <w:lang w:eastAsia="zh-CN"/>
        </w:rPr>
        <w:t xml:space="preserve">. </w:t>
      </w:r>
      <w:r w:rsidR="00592939">
        <w:rPr>
          <w:rFonts w:eastAsia="SimSun" w:hint="eastAsia"/>
          <w:lang w:eastAsia="zh-CN"/>
        </w:rPr>
        <w:t>Secondly, when HARQ-ACK bundling is used as</w:t>
      </w:r>
      <w:r w:rsidR="002D026C">
        <w:rPr>
          <w:rFonts w:eastAsia="SimSun" w:hint="eastAsia"/>
          <w:lang w:eastAsia="zh-CN"/>
        </w:rPr>
        <w:t xml:space="preserve"> feedback </w:t>
      </w:r>
      <w:r w:rsidR="00592939">
        <w:rPr>
          <w:rFonts w:eastAsia="SimSun" w:hint="eastAsia"/>
          <w:lang w:eastAsia="zh-CN"/>
        </w:rPr>
        <w:t xml:space="preserve">format </w:t>
      </w:r>
      <w:r w:rsidR="002D026C">
        <w:rPr>
          <w:rFonts w:eastAsia="SimSun" w:hint="eastAsia"/>
          <w:lang w:eastAsia="zh-CN"/>
        </w:rPr>
        <w:t>additional L1 signallin</w:t>
      </w:r>
      <w:r w:rsidR="00592939">
        <w:rPr>
          <w:rFonts w:eastAsia="SimSun" w:hint="eastAsia"/>
          <w:lang w:eastAsia="zh-CN"/>
        </w:rPr>
        <w:t xml:space="preserve">g is required to indicate which explicit </w:t>
      </w:r>
      <w:r w:rsidR="002D026C">
        <w:rPr>
          <w:rFonts w:eastAsia="SimSun" w:hint="eastAsia"/>
          <w:lang w:eastAsia="zh-CN"/>
        </w:rPr>
        <w:t xml:space="preserve">resource is used for the bundled HARQ-ACK transmission. </w:t>
      </w:r>
    </w:p>
    <w:p w:rsidR="002D026C" w:rsidRPr="008F2949" w:rsidRDefault="002D026C" w:rsidP="000641B2">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2D026C" w:rsidRPr="00EC7502" w:rsidRDefault="002D026C" w:rsidP="002D026C">
      <w:pPr>
        <w:widowControl/>
        <w:numPr>
          <w:ilvl w:val="0"/>
          <w:numId w:val="11"/>
        </w:numPr>
        <w:wordWrap/>
        <w:autoSpaceDE/>
        <w:autoSpaceDN/>
        <w:spacing w:before="120" w:after="180"/>
        <w:jc w:val="left"/>
        <w:rPr>
          <w:rFonts w:eastAsiaTheme="minorEastAsia"/>
          <w:i/>
          <w:szCs w:val="22"/>
          <w:lang w:eastAsia="zh-CN"/>
        </w:rPr>
      </w:pPr>
      <w:r w:rsidRPr="00EC7502">
        <w:rPr>
          <w:rFonts w:ascii="Times New Roman" w:eastAsiaTheme="minorEastAsia" w:hint="eastAsia"/>
          <w:i/>
          <w:sz w:val="22"/>
          <w:szCs w:val="22"/>
          <w:lang w:eastAsia="zh-CN"/>
        </w:rPr>
        <w:t>New PUCCH resource mapping method for eIMTA UE</w:t>
      </w:r>
      <w:r>
        <w:rPr>
          <w:rFonts w:ascii="Times New Roman" w:eastAsiaTheme="minorEastAsia" w:hint="eastAsia"/>
          <w:i/>
          <w:sz w:val="22"/>
          <w:szCs w:val="22"/>
          <w:lang w:eastAsia="zh-CN"/>
        </w:rPr>
        <w:t xml:space="preserve"> </w:t>
      </w:r>
      <w:r w:rsidR="00B76554">
        <w:rPr>
          <w:rFonts w:ascii="Times New Roman" w:eastAsiaTheme="minorEastAsia" w:hint="eastAsia"/>
          <w:i/>
          <w:sz w:val="22"/>
          <w:szCs w:val="22"/>
          <w:lang w:eastAsia="zh-CN"/>
        </w:rPr>
        <w:t xml:space="preserve">shall </w:t>
      </w:r>
      <w:r w:rsidR="009741C1">
        <w:rPr>
          <w:rFonts w:ascii="Times New Roman" w:eastAsiaTheme="minorEastAsia" w:hint="eastAsia"/>
          <w:i/>
          <w:sz w:val="22"/>
          <w:szCs w:val="22"/>
          <w:lang w:eastAsia="zh-CN"/>
        </w:rPr>
        <w:t xml:space="preserve">allow </w:t>
      </w:r>
      <w:r w:rsidR="00B76554">
        <w:rPr>
          <w:rFonts w:ascii="Times New Roman" w:eastAsiaTheme="minorEastAsia"/>
          <w:i/>
          <w:sz w:val="22"/>
          <w:szCs w:val="22"/>
          <w:lang w:eastAsia="zh-CN"/>
        </w:rPr>
        <w:t>reusing</w:t>
      </w:r>
      <w:r w:rsidR="009741C1">
        <w:rPr>
          <w:rFonts w:ascii="Times New Roman" w:eastAsiaTheme="minorEastAsia" w:hint="eastAsia"/>
          <w:i/>
          <w:sz w:val="22"/>
          <w:szCs w:val="22"/>
          <w:lang w:eastAsia="zh-CN"/>
        </w:rPr>
        <w:t xml:space="preserve"> the </w:t>
      </w:r>
      <w:r>
        <w:rPr>
          <w:rFonts w:ascii="Times New Roman" w:eastAsiaTheme="minorEastAsia" w:hint="eastAsia"/>
          <w:i/>
          <w:sz w:val="22"/>
          <w:szCs w:val="22"/>
          <w:lang w:eastAsia="zh-CN"/>
        </w:rPr>
        <w:t xml:space="preserve">PUCCH resources reserved for flexible subframes which are </w:t>
      </w:r>
      <w:r w:rsidR="00B76554">
        <w:rPr>
          <w:rFonts w:ascii="Times New Roman" w:eastAsiaTheme="minorEastAsia" w:hint="eastAsia"/>
          <w:i/>
          <w:sz w:val="22"/>
          <w:szCs w:val="22"/>
          <w:lang w:eastAsia="zh-CN"/>
        </w:rPr>
        <w:t xml:space="preserve">actually </w:t>
      </w:r>
      <w:r>
        <w:rPr>
          <w:rFonts w:ascii="Times New Roman" w:eastAsiaTheme="minorEastAsia" w:hint="eastAsia"/>
          <w:i/>
          <w:sz w:val="22"/>
          <w:szCs w:val="22"/>
          <w:lang w:eastAsia="zh-CN"/>
        </w:rPr>
        <w:t>reconfigured as UL subframes.</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9741C1" w:rsidRPr="008F2949" w:rsidRDefault="009741C1" w:rsidP="000641B2">
      <w:pPr>
        <w:spacing w:before="240"/>
        <w:rPr>
          <w:rFonts w:ascii="Times New Roman"/>
          <w:b/>
          <w:i/>
          <w:sz w:val="22"/>
          <w:szCs w:val="22"/>
        </w:rPr>
      </w:pPr>
      <w:r w:rsidRPr="008F2949">
        <w:rPr>
          <w:rFonts w:ascii="Times New Roman"/>
          <w:b/>
          <w:i/>
          <w:sz w:val="22"/>
          <w:szCs w:val="22"/>
        </w:rPr>
        <w:t xml:space="preserve">Proposal </w:t>
      </w:r>
      <w:r w:rsidRPr="000641B2">
        <w:rPr>
          <w:rFonts w:ascii="Times New Roman" w:hint="eastAsia"/>
          <w:b/>
          <w:i/>
          <w:sz w:val="22"/>
          <w:szCs w:val="22"/>
        </w:rPr>
        <w:t>2</w:t>
      </w:r>
      <w:r w:rsidRPr="008F2949">
        <w:rPr>
          <w:rFonts w:ascii="Times New Roman"/>
          <w:b/>
          <w:i/>
          <w:sz w:val="22"/>
          <w:szCs w:val="22"/>
        </w:rPr>
        <w:t xml:space="preserve">: </w:t>
      </w:r>
    </w:p>
    <w:p w:rsidR="009741C1" w:rsidRPr="00EC7502" w:rsidRDefault="009741C1" w:rsidP="009741C1">
      <w:pPr>
        <w:widowControl/>
        <w:numPr>
          <w:ilvl w:val="0"/>
          <w:numId w:val="11"/>
        </w:numPr>
        <w:wordWrap/>
        <w:autoSpaceDE/>
        <w:autoSpaceDN/>
        <w:spacing w:before="120" w:after="180"/>
        <w:jc w:val="left"/>
        <w:rPr>
          <w:rFonts w:eastAsiaTheme="minorEastAsia"/>
          <w:i/>
          <w:szCs w:val="22"/>
          <w:lang w:eastAsia="zh-CN"/>
        </w:rPr>
      </w:pPr>
      <w:r>
        <w:rPr>
          <w:rFonts w:ascii="Times New Roman" w:eastAsiaTheme="minorEastAsia" w:hint="eastAsia"/>
          <w:i/>
          <w:sz w:val="22"/>
          <w:szCs w:val="22"/>
          <w:lang w:eastAsia="zh-CN"/>
        </w:rPr>
        <w:t xml:space="preserve">Consider Option 2 as PUCCH resource </w:t>
      </w:r>
      <w:r>
        <w:rPr>
          <w:rFonts w:ascii="Times New Roman" w:eastAsiaTheme="minorEastAsia"/>
          <w:i/>
          <w:sz w:val="22"/>
          <w:szCs w:val="22"/>
          <w:lang w:eastAsia="zh-CN"/>
        </w:rPr>
        <w:t>allocation</w:t>
      </w:r>
      <w:r>
        <w:rPr>
          <w:rFonts w:ascii="Times New Roman" w:eastAsiaTheme="minorEastAsia" w:hint="eastAsia"/>
          <w:i/>
          <w:sz w:val="22"/>
          <w:szCs w:val="22"/>
          <w:lang w:eastAsia="zh-CN"/>
        </w:rPr>
        <w:t xml:space="preserve"> method for eIMTA UEs</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2D026C" w:rsidRPr="002D026C" w:rsidRDefault="004D3DD0" w:rsidP="001A2D51">
      <w:pPr>
        <w:pStyle w:val="LGTdoc0"/>
        <w:spacing w:before="120" w:afterLines="0" w:line="240" w:lineRule="auto"/>
        <w:jc w:val="center"/>
        <w:rPr>
          <w:rFonts w:eastAsia="SimSun"/>
          <w:lang w:val="en-US" w:eastAsia="zh-CN"/>
        </w:rPr>
      </w:pPr>
      <w:r>
        <w:object w:dxaOrig="8403" w:dyaOrig="3576">
          <v:shape id="_x0000_i1026" type="#_x0000_t75" style="width:420.2pt;height:178.95pt" o:ole="">
            <v:imagedata r:id="rId13" o:title=""/>
          </v:shape>
          <o:OLEObject Type="Embed" ProgID="Visio.Drawing.11" ShapeID="_x0000_i1026" DrawAspect="Content" ObjectID="_1444850144" r:id="rId14"/>
        </w:object>
      </w:r>
    </w:p>
    <w:p w:rsidR="00AC41E8" w:rsidRPr="005D31A1" w:rsidRDefault="00AC41E8" w:rsidP="00AC41E8">
      <w:pPr>
        <w:pStyle w:val="LGTdoc0"/>
        <w:spacing w:before="120" w:afterLines="0" w:line="240" w:lineRule="auto"/>
        <w:jc w:val="center"/>
        <w:rPr>
          <w:rFonts w:eastAsia="SimSun"/>
          <w:b/>
          <w:lang w:val="en-US" w:eastAsia="zh-CN"/>
        </w:rPr>
      </w:pPr>
      <w:r w:rsidRPr="005D31A1">
        <w:rPr>
          <w:rFonts w:eastAsia="SimSun" w:hint="eastAsia"/>
          <w:b/>
          <w:lang w:val="en-US" w:eastAsia="zh-CN"/>
        </w:rPr>
        <w:t xml:space="preserve">Figure </w:t>
      </w:r>
      <w:r w:rsidR="006E48E6" w:rsidRPr="005D31A1">
        <w:rPr>
          <w:rFonts w:eastAsia="SimSun" w:hint="eastAsia"/>
          <w:b/>
          <w:lang w:val="en-US" w:eastAsia="zh-CN"/>
        </w:rPr>
        <w:t>2</w:t>
      </w:r>
      <w:r w:rsidRPr="005D31A1">
        <w:rPr>
          <w:rFonts w:eastAsia="SimSun" w:hint="eastAsia"/>
          <w:b/>
          <w:lang w:val="en-US" w:eastAsia="zh-CN"/>
        </w:rPr>
        <w:t xml:space="preserve">: PUCCH resource </w:t>
      </w:r>
      <w:r w:rsidR="00B76554">
        <w:rPr>
          <w:rFonts w:eastAsia="SimSun" w:hint="eastAsia"/>
          <w:b/>
          <w:lang w:val="en-US" w:eastAsia="zh-CN"/>
        </w:rPr>
        <w:t>allocation</w:t>
      </w:r>
      <w:r w:rsidRPr="005D31A1">
        <w:rPr>
          <w:rFonts w:eastAsia="SimSun" w:hint="eastAsia"/>
          <w:b/>
          <w:lang w:val="en-US" w:eastAsia="zh-CN"/>
        </w:rPr>
        <w:t xml:space="preserve"> between legacy and eIMTA UE</w:t>
      </w:r>
      <w:r w:rsidR="00B76554">
        <w:rPr>
          <w:rFonts w:eastAsia="SimSun" w:hint="eastAsia"/>
          <w:b/>
          <w:lang w:val="en-US" w:eastAsia="zh-CN"/>
        </w:rPr>
        <w:t>s</w:t>
      </w:r>
    </w:p>
    <w:p w:rsidR="00BA1180" w:rsidRDefault="00BA1180" w:rsidP="00BA1180">
      <w:pPr>
        <w:spacing w:after="120"/>
        <w:rPr>
          <w:rFonts w:ascii="Times New Roman" w:eastAsiaTheme="minorEastAsia"/>
          <w:b/>
          <w:i/>
          <w:sz w:val="22"/>
          <w:szCs w:val="22"/>
          <w:lang w:eastAsia="zh-CN"/>
        </w:rPr>
      </w:pPr>
    </w:p>
    <w:p w:rsidR="00647B59" w:rsidRPr="006F0D15" w:rsidRDefault="00B76554" w:rsidP="00647B59">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PUCCH resource mapping for EPDCCH</w:t>
      </w:r>
    </w:p>
    <w:p w:rsidR="00731529" w:rsidRDefault="0031228D" w:rsidP="00647B59">
      <w:pPr>
        <w:pStyle w:val="LGTdoc0"/>
        <w:spacing w:before="120" w:afterLines="0" w:line="240" w:lineRule="auto"/>
        <w:rPr>
          <w:rFonts w:eastAsia="SimSun"/>
          <w:lang w:eastAsia="zh-CN"/>
        </w:rPr>
      </w:pPr>
      <w:r>
        <w:rPr>
          <w:rFonts w:eastAsia="SimSun" w:hint="eastAsia"/>
          <w:lang w:eastAsia="zh-CN"/>
        </w:rPr>
        <w:t xml:space="preserve">In the following, the implicit PUCCH </w:t>
      </w:r>
      <w:r>
        <w:rPr>
          <w:rFonts w:eastAsia="SimSun"/>
          <w:lang w:eastAsia="zh-CN"/>
        </w:rPr>
        <w:t>resource</w:t>
      </w:r>
      <w:r>
        <w:rPr>
          <w:rFonts w:eastAsia="SimSun" w:hint="eastAsia"/>
          <w:lang w:eastAsia="zh-CN"/>
        </w:rPr>
        <w:t xml:space="preserve"> allocation for E</w:t>
      </w:r>
      <w:r w:rsidR="00687F49">
        <w:rPr>
          <w:rFonts w:eastAsia="SimSun" w:hint="eastAsia"/>
          <w:lang w:eastAsia="zh-CN"/>
        </w:rPr>
        <w:t>PDCCH is discussed for eIMTA UE</w:t>
      </w:r>
      <w:r>
        <w:rPr>
          <w:rFonts w:eastAsia="SimSun" w:hint="eastAsia"/>
          <w:lang w:eastAsia="zh-CN"/>
        </w:rPr>
        <w:t xml:space="preserve">. </w:t>
      </w:r>
      <w:r w:rsidR="00731529">
        <w:rPr>
          <w:rFonts w:eastAsia="SimSun" w:hint="eastAsia"/>
          <w:lang w:eastAsia="zh-CN"/>
        </w:rPr>
        <w:t>Different form PDCCH, the</w:t>
      </w:r>
      <w:r w:rsidR="00C6516E">
        <w:rPr>
          <w:rFonts w:eastAsia="SimSun" w:hint="eastAsia"/>
          <w:lang w:eastAsia="zh-CN"/>
        </w:rPr>
        <w:t xml:space="preserve">re is no block interleaving for EPDCCH case and the </w:t>
      </w:r>
      <w:r w:rsidR="00731529">
        <w:rPr>
          <w:rFonts w:eastAsia="SimSun" w:hint="eastAsia"/>
          <w:lang w:eastAsia="zh-CN"/>
        </w:rPr>
        <w:t xml:space="preserve">resource allocation for EPDCCH can be further adjusted by ARO bits, which </w:t>
      </w:r>
      <w:r w:rsidR="00593D7E">
        <w:rPr>
          <w:rFonts w:eastAsia="SimSun" w:hint="eastAsia"/>
          <w:lang w:eastAsia="zh-CN"/>
        </w:rPr>
        <w:t xml:space="preserve">have the following </w:t>
      </w:r>
      <w:r w:rsidR="0071602E">
        <w:rPr>
          <w:rFonts w:eastAsia="SimSun"/>
          <w:lang w:eastAsia="zh-CN"/>
        </w:rPr>
        <w:t>definitions</w:t>
      </w:r>
      <w:r w:rsidR="00731529">
        <w:rPr>
          <w:rFonts w:eastAsia="SimSun" w:hint="eastAsia"/>
          <w:lang w:eastAsia="zh-CN"/>
        </w:rPr>
        <w:t xml:space="preserve"> </w:t>
      </w:r>
    </w:p>
    <w:p w:rsidR="00731529" w:rsidRPr="00731529" w:rsidRDefault="00731529" w:rsidP="00731529">
      <w:pPr>
        <w:pStyle w:val="LGTdoc0"/>
        <w:numPr>
          <w:ilvl w:val="0"/>
          <w:numId w:val="14"/>
        </w:numPr>
        <w:spacing w:before="120" w:afterLines="0" w:line="240" w:lineRule="auto"/>
        <w:rPr>
          <w:rFonts w:eastAsia="SimSun"/>
          <w:lang w:eastAsia="zh-CN"/>
        </w:rPr>
      </w:pPr>
      <w:r w:rsidRPr="00731529">
        <w:rPr>
          <w:rFonts w:eastAsia="SimSun"/>
          <w:lang w:eastAsia="zh-CN"/>
        </w:rPr>
        <w:t>For m=0</w:t>
      </w:r>
      <w:r w:rsidRPr="00731529">
        <w:rPr>
          <w:rFonts w:eastAsia="SimSun" w:hint="eastAsia"/>
          <w:lang w:eastAsia="zh-CN"/>
        </w:rPr>
        <w:t xml:space="preserve"> (i.e. the first subframe in bundling </w:t>
      </w:r>
      <w:r w:rsidR="00593D7E">
        <w:rPr>
          <w:rFonts w:eastAsia="SimSun" w:hint="eastAsia"/>
          <w:lang w:eastAsia="zh-CN"/>
        </w:rPr>
        <w:t>set</w:t>
      </w:r>
      <w:r w:rsidRPr="00731529">
        <w:rPr>
          <w:rFonts w:eastAsia="SimSun" w:hint="eastAsia"/>
          <w:lang w:eastAsia="zh-CN"/>
        </w:rPr>
        <w:t>)</w:t>
      </w:r>
      <w:r w:rsidRPr="00731529">
        <w:rPr>
          <w:rFonts w:eastAsia="SimSun"/>
          <w:lang w:eastAsia="zh-CN"/>
        </w:rPr>
        <w:t>, the ARO values for TDD are {0, -2, -1,</w:t>
      </w:r>
      <w:r w:rsidRPr="00731529">
        <w:rPr>
          <w:rFonts w:eastAsia="SimSun" w:hint="eastAsia"/>
          <w:lang w:eastAsia="zh-CN"/>
        </w:rPr>
        <w:t xml:space="preserve"> </w:t>
      </w:r>
      <w:r w:rsidRPr="00731529">
        <w:rPr>
          <w:rFonts w:eastAsia="SimSun"/>
          <w:lang w:eastAsia="zh-CN"/>
        </w:rPr>
        <w:t>2}</w:t>
      </w:r>
      <w:r w:rsidRPr="00731529">
        <w:rPr>
          <w:rFonts w:eastAsia="SimSun" w:hint="eastAsia"/>
          <w:lang w:eastAsia="zh-CN"/>
        </w:rPr>
        <w:t>;</w:t>
      </w:r>
    </w:p>
    <w:p w:rsidR="00731529" w:rsidRDefault="00731529" w:rsidP="00731529">
      <w:pPr>
        <w:pStyle w:val="LGTdoc0"/>
        <w:numPr>
          <w:ilvl w:val="0"/>
          <w:numId w:val="14"/>
        </w:numPr>
        <w:spacing w:before="120" w:afterLines="0" w:line="240" w:lineRule="auto"/>
        <w:rPr>
          <w:rFonts w:eastAsia="SimSun"/>
          <w:lang w:eastAsia="zh-CN"/>
        </w:rPr>
      </w:pPr>
      <w:r w:rsidRPr="00731529">
        <w:rPr>
          <w:rFonts w:eastAsia="SimSun"/>
          <w:lang w:eastAsia="zh-CN"/>
        </w:rPr>
        <w:t>For m&gt;0, ARO values are</w:t>
      </w:r>
      <w:r>
        <w:rPr>
          <w:rFonts w:eastAsia="SimSun" w:hint="eastAsia"/>
          <w:lang w:eastAsia="zh-CN"/>
        </w:rPr>
        <w:t xml:space="preserve"> </w:t>
      </w:r>
      <m:oMath>
        <m:r>
          <m:rPr>
            <m:sty m:val="p"/>
          </m:rPr>
          <w:rPr>
            <w:rFonts w:ascii="Cambria Math" w:eastAsia="SimSun" w:hAnsi="Cambria Math"/>
            <w:lang w:eastAsia="zh-CN"/>
          </w:rPr>
          <m:t>{0, -</m:t>
        </m:r>
        <m:nary>
          <m:naryPr>
            <m:chr m:val="∑"/>
            <m:limLoc m:val="undOvr"/>
            <m:ctrlPr>
              <w:rPr>
                <w:rFonts w:ascii="Cambria Math" w:eastAsia="SimSun" w:hAnsi="Cambria Math"/>
                <w:lang w:eastAsia="zh-CN"/>
              </w:rPr>
            </m:ctrlPr>
          </m:naryPr>
          <m:sub>
            <m:r>
              <w:rPr>
                <w:rFonts w:ascii="Cambria Math" w:eastAsia="SimSun" w:hAnsi="Cambria Math"/>
                <w:lang w:eastAsia="zh-CN"/>
              </w:rPr>
              <m:t>i1=0</m:t>
            </m:r>
          </m:sub>
          <m:sup>
            <m:r>
              <w:rPr>
                <w:rFonts w:ascii="Cambria Math" w:eastAsia="SimSun" w:hAnsi="Cambria Math"/>
                <w:lang w:eastAsia="zh-CN"/>
              </w:rPr>
              <m:t>m-1</m:t>
            </m:r>
          </m:sup>
          <m:e>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ECCE,1,n-</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i1</m:t>
                    </m:r>
                  </m:sub>
                </m:sSub>
              </m:sub>
            </m:sSub>
            <m:r>
              <w:rPr>
                <w:rFonts w:ascii="Cambria Math" w:eastAsia="SimSun" w:hAnsi="Cambria Math"/>
                <w:lang w:eastAsia="zh-CN"/>
              </w:rPr>
              <m:t xml:space="preserve">-2,- </m:t>
            </m:r>
            <m:nary>
              <m:naryPr>
                <m:chr m:val="∑"/>
                <m:limLoc m:val="undOvr"/>
                <m:ctrlPr>
                  <w:rPr>
                    <w:rFonts w:ascii="Cambria Math" w:eastAsia="SimSun" w:hAnsi="Cambria Math"/>
                    <w:lang w:eastAsia="zh-CN"/>
                  </w:rPr>
                </m:ctrlPr>
              </m:naryPr>
              <m:sub>
                <m:r>
                  <w:rPr>
                    <w:rFonts w:ascii="Cambria Math" w:eastAsia="SimSun" w:hAnsi="Cambria Math"/>
                    <w:lang w:eastAsia="zh-CN"/>
                  </w:rPr>
                  <m:t>i1=m-</m:t>
                </m:r>
                <m:d>
                  <m:dPr>
                    <m:begChr m:val="⌈"/>
                    <m:endChr m:val="⌉"/>
                    <m:ctrlPr>
                      <w:rPr>
                        <w:rFonts w:ascii="Cambria Math" w:eastAsia="SimSun" w:hAnsi="Cambria Math"/>
                        <w:i/>
                        <w:lang w:eastAsia="zh-CN"/>
                      </w:rPr>
                    </m:ctrlPr>
                  </m:dPr>
                  <m:e>
                    <m:r>
                      <w:rPr>
                        <w:rFonts w:ascii="Cambria Math" w:eastAsia="SimSun" w:hAnsi="Cambria Math"/>
                        <w:lang w:eastAsia="zh-CN"/>
                      </w:rPr>
                      <m:t>m/3</m:t>
                    </m:r>
                  </m:e>
                </m:d>
              </m:sub>
              <m:sup>
                <m:r>
                  <w:rPr>
                    <w:rFonts w:ascii="Cambria Math" w:eastAsia="SimSun" w:hAnsi="Cambria Math"/>
                    <w:lang w:eastAsia="zh-CN"/>
                  </w:rPr>
                  <m:t>m-1</m:t>
                </m:r>
              </m:sup>
              <m:e>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ECCE,1,n-</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i1</m:t>
                        </m:r>
                      </m:sub>
                    </m:sSub>
                  </m:sub>
                </m:sSub>
                <m:r>
                  <w:rPr>
                    <w:rFonts w:ascii="Cambria Math" w:eastAsia="SimSun" w:hAnsi="Cambria Math"/>
                    <w:lang w:eastAsia="zh-CN"/>
                  </w:rPr>
                  <m:t xml:space="preserve">-1, 2 </m:t>
                </m:r>
              </m:e>
            </m:nary>
          </m:e>
        </m:nary>
        <m:r>
          <m:rPr>
            <m:sty m:val="p"/>
          </m:rPr>
          <w:rPr>
            <w:rFonts w:ascii="Cambria Math" w:eastAsia="SimSun" w:hAnsi="Cambria Math"/>
            <w:lang w:eastAsia="zh-CN"/>
          </w:rPr>
          <m:t>}</m:t>
        </m:r>
      </m:oMath>
    </w:p>
    <w:p w:rsidR="0071602E" w:rsidRPr="00731529" w:rsidRDefault="00596958" w:rsidP="00593D7E">
      <w:pPr>
        <w:pStyle w:val="LGTdoc0"/>
        <w:spacing w:before="120" w:afterLines="0" w:line="240" w:lineRule="auto"/>
        <w:rPr>
          <w:rFonts w:eastAsia="SimSun"/>
          <w:lang w:eastAsia="zh-CN"/>
        </w:rPr>
      </w:pPr>
      <w:r>
        <w:rPr>
          <w:rFonts w:eastAsia="SimSun" w:hint="eastAsia"/>
          <w:lang w:eastAsia="zh-CN"/>
        </w:rPr>
        <w:t>In Rel-11, ARO can be used</w:t>
      </w:r>
      <w:r w:rsidR="00593D7E">
        <w:rPr>
          <w:rFonts w:eastAsia="SimSun" w:hint="eastAsia"/>
          <w:lang w:eastAsia="zh-CN"/>
        </w:rPr>
        <w:t xml:space="preserve"> to resolve the PUCCH resource collision</w:t>
      </w:r>
      <w:r w:rsidR="00DB491B">
        <w:rPr>
          <w:rFonts w:eastAsia="SimSun"/>
          <w:lang w:eastAsia="zh-CN"/>
        </w:rPr>
        <w:t xml:space="preserve"> and resource compression</w:t>
      </w:r>
      <w:r w:rsidR="00593D7E">
        <w:rPr>
          <w:rFonts w:eastAsia="SimSun" w:hint="eastAsia"/>
          <w:lang w:eastAsia="zh-CN"/>
        </w:rPr>
        <w:t xml:space="preserve">. However, if </w:t>
      </w:r>
      <w:r w:rsidR="0071602E">
        <w:rPr>
          <w:rFonts w:eastAsia="SimSun" w:hint="eastAsia"/>
          <w:lang w:eastAsia="zh-CN"/>
        </w:rPr>
        <w:t>th</w:t>
      </w:r>
      <w:r w:rsidR="00593D7E">
        <w:rPr>
          <w:rFonts w:eastAsia="SimSun" w:hint="eastAsia"/>
          <w:lang w:eastAsia="zh-CN"/>
        </w:rPr>
        <w:t xml:space="preserve">e legacy UE supports PDCCH </w:t>
      </w:r>
      <w:r w:rsidR="00EF5750">
        <w:rPr>
          <w:rFonts w:eastAsia="SimSun" w:hint="eastAsia"/>
          <w:lang w:eastAsia="zh-CN"/>
        </w:rPr>
        <w:t xml:space="preserve">with same starting offset as the eIMTA UE which uses EPDCCH </w:t>
      </w:r>
      <w:r w:rsidR="00593D7E">
        <w:rPr>
          <w:rFonts w:eastAsia="SimSun" w:hint="eastAsia"/>
          <w:lang w:eastAsia="zh-CN"/>
        </w:rPr>
        <w:t xml:space="preserve">it </w:t>
      </w:r>
      <w:r w:rsidR="0071602E">
        <w:rPr>
          <w:rFonts w:eastAsia="SimSun" w:hint="eastAsia"/>
          <w:lang w:eastAsia="zh-CN"/>
        </w:rPr>
        <w:t>may not</w:t>
      </w:r>
      <w:r w:rsidR="00593D7E">
        <w:rPr>
          <w:rFonts w:eastAsia="SimSun" w:hint="eastAsia"/>
          <w:lang w:eastAsia="zh-CN"/>
        </w:rPr>
        <w:t xml:space="preserve"> </w:t>
      </w:r>
      <w:r w:rsidR="0071602E">
        <w:rPr>
          <w:rFonts w:eastAsia="SimSun" w:hint="eastAsia"/>
          <w:lang w:eastAsia="zh-CN"/>
        </w:rPr>
        <w:t>be p</w:t>
      </w:r>
      <w:r w:rsidR="00593D7E">
        <w:rPr>
          <w:rFonts w:eastAsia="SimSun" w:hint="eastAsia"/>
          <w:lang w:eastAsia="zh-CN"/>
        </w:rPr>
        <w:t xml:space="preserve">ossible to avoid </w:t>
      </w:r>
      <w:r w:rsidR="0071602E">
        <w:rPr>
          <w:rFonts w:eastAsia="SimSun" w:hint="eastAsia"/>
          <w:lang w:eastAsia="zh-CN"/>
        </w:rPr>
        <w:t xml:space="preserve">the </w:t>
      </w:r>
      <w:r w:rsidR="00593D7E">
        <w:rPr>
          <w:rFonts w:eastAsia="SimSun"/>
          <w:lang w:eastAsia="zh-CN"/>
        </w:rPr>
        <w:t>resource</w:t>
      </w:r>
      <w:r w:rsidR="00593D7E">
        <w:rPr>
          <w:rFonts w:eastAsia="SimSun" w:hint="eastAsia"/>
          <w:lang w:eastAsia="zh-CN"/>
        </w:rPr>
        <w:t xml:space="preserve"> collision </w:t>
      </w:r>
      <w:r w:rsidR="0071602E">
        <w:rPr>
          <w:rFonts w:eastAsia="SimSun" w:hint="eastAsia"/>
          <w:lang w:eastAsia="zh-CN"/>
        </w:rPr>
        <w:t xml:space="preserve">by configuring ARO for eIMTA UE. Considering the example in Figure 2, EPDCCH of DL subframe #4 and #5 for eIMTA UEs are transmitted before PDCCH of DL subframe #6 for legacy UE. In such case, it is impossible for eNB to configure ARO in EPDCCH of DL subframe #4 and #5 to avoid </w:t>
      </w:r>
      <w:r w:rsidR="0071602E">
        <w:rPr>
          <w:rFonts w:eastAsia="SimSun"/>
          <w:lang w:eastAsia="zh-CN"/>
        </w:rPr>
        <w:t>resource</w:t>
      </w:r>
      <w:r w:rsidR="0071602E">
        <w:rPr>
          <w:rFonts w:eastAsia="SimSun" w:hint="eastAsia"/>
          <w:lang w:eastAsia="zh-CN"/>
        </w:rPr>
        <w:t xml:space="preserve"> collision with legacy UE.</w:t>
      </w:r>
      <w:r w:rsidR="00EF5750">
        <w:rPr>
          <w:rFonts w:eastAsia="SimSun" w:hint="eastAsia"/>
          <w:lang w:eastAsia="zh-CN"/>
        </w:rPr>
        <w:t xml:space="preserve"> In addition, if both legacy and eIMTA UE use the EPDCCH there still possible resource collision if all are mapped to the resource region for subframe #6.</w:t>
      </w:r>
      <w:r w:rsidR="0071602E">
        <w:rPr>
          <w:rFonts w:eastAsia="SimSun" w:hint="eastAsia"/>
          <w:lang w:eastAsia="zh-CN"/>
        </w:rPr>
        <w:t xml:space="preserve"> </w:t>
      </w:r>
    </w:p>
    <w:p w:rsidR="0071602E" w:rsidRPr="008F2949" w:rsidRDefault="0071602E" w:rsidP="00D251E8">
      <w:pPr>
        <w:spacing w:before="240" w:after="120"/>
        <w:rPr>
          <w:rFonts w:ascii="Times New Roman"/>
          <w:b/>
          <w:i/>
          <w:sz w:val="22"/>
          <w:szCs w:val="22"/>
        </w:rPr>
      </w:pPr>
      <w:r>
        <w:rPr>
          <w:rFonts w:ascii="Times New Roman" w:eastAsiaTheme="minorEastAsia" w:hint="eastAsia"/>
          <w:b/>
          <w:i/>
          <w:sz w:val="22"/>
          <w:szCs w:val="22"/>
          <w:lang w:eastAsia="zh-CN"/>
        </w:rPr>
        <w:t>Observation</w:t>
      </w:r>
      <w:r w:rsidRPr="008F2949">
        <w:rPr>
          <w:rFonts w:ascii="Times New Roman"/>
          <w:b/>
          <w:i/>
          <w:sz w:val="22"/>
          <w:szCs w:val="22"/>
        </w:rPr>
        <w:t xml:space="preserve">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71602E" w:rsidRPr="00EC7502" w:rsidRDefault="0071602E" w:rsidP="0071602E">
      <w:pPr>
        <w:widowControl/>
        <w:numPr>
          <w:ilvl w:val="0"/>
          <w:numId w:val="11"/>
        </w:numPr>
        <w:wordWrap/>
        <w:autoSpaceDE/>
        <w:autoSpaceDN/>
        <w:spacing w:before="120" w:after="180"/>
        <w:jc w:val="left"/>
        <w:rPr>
          <w:rFonts w:eastAsiaTheme="minorEastAsia"/>
          <w:i/>
          <w:szCs w:val="22"/>
          <w:lang w:eastAsia="zh-CN"/>
        </w:rPr>
      </w:pPr>
      <w:r>
        <w:rPr>
          <w:rFonts w:ascii="Times New Roman" w:eastAsiaTheme="minorEastAsia" w:hint="eastAsia"/>
          <w:i/>
          <w:sz w:val="22"/>
          <w:szCs w:val="22"/>
          <w:lang w:eastAsia="zh-CN"/>
        </w:rPr>
        <w:t xml:space="preserve">PUCCH </w:t>
      </w:r>
      <w:r>
        <w:rPr>
          <w:rFonts w:ascii="Times New Roman" w:eastAsiaTheme="minorEastAsia"/>
          <w:i/>
          <w:sz w:val="22"/>
          <w:szCs w:val="22"/>
          <w:lang w:eastAsia="zh-CN"/>
        </w:rPr>
        <w:t>resource</w:t>
      </w:r>
      <w:r>
        <w:rPr>
          <w:rFonts w:ascii="Times New Roman" w:eastAsiaTheme="minorEastAsia" w:hint="eastAsia"/>
          <w:i/>
          <w:sz w:val="22"/>
          <w:szCs w:val="22"/>
          <w:lang w:eastAsia="zh-CN"/>
        </w:rPr>
        <w:t xml:space="preserve"> collision for EPDCCH cannot be avoided by </w:t>
      </w:r>
      <w:r w:rsidR="00DB491B">
        <w:rPr>
          <w:rFonts w:ascii="Times New Roman" w:eastAsiaTheme="minorEastAsia"/>
          <w:i/>
          <w:sz w:val="22"/>
          <w:szCs w:val="22"/>
          <w:lang w:eastAsia="zh-CN"/>
        </w:rPr>
        <w:t>utilizing</w:t>
      </w:r>
      <w:r w:rsidR="00DB491B">
        <w:rPr>
          <w:rFonts w:ascii="Times New Roman" w:eastAsiaTheme="minorEastAsia" w:hint="eastAsia"/>
          <w:i/>
          <w:sz w:val="22"/>
          <w:szCs w:val="22"/>
          <w:lang w:eastAsia="zh-CN"/>
        </w:rPr>
        <w:t xml:space="preserve"> </w:t>
      </w:r>
      <w:r>
        <w:rPr>
          <w:rFonts w:ascii="Times New Roman" w:eastAsiaTheme="minorEastAsia" w:hint="eastAsia"/>
          <w:i/>
          <w:sz w:val="22"/>
          <w:szCs w:val="22"/>
          <w:lang w:eastAsia="zh-CN"/>
        </w:rPr>
        <w:t>ARO fi</w:t>
      </w:r>
      <w:r w:rsidR="00DB491B">
        <w:rPr>
          <w:rFonts w:ascii="Times New Roman" w:eastAsiaTheme="minorEastAsia"/>
          <w:i/>
          <w:sz w:val="22"/>
          <w:szCs w:val="22"/>
          <w:lang w:eastAsia="zh-CN"/>
        </w:rPr>
        <w:t>el</w:t>
      </w:r>
      <w:r>
        <w:rPr>
          <w:rFonts w:ascii="Times New Roman" w:eastAsiaTheme="minorEastAsia" w:hint="eastAsia"/>
          <w:i/>
          <w:sz w:val="22"/>
          <w:szCs w:val="22"/>
          <w:lang w:eastAsia="zh-CN"/>
        </w:rPr>
        <w:t>d in DCI format for eIMTA UE.</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1B7111" w:rsidRDefault="00731529" w:rsidP="00647B59">
      <w:pPr>
        <w:pStyle w:val="LGTdoc0"/>
        <w:spacing w:before="120" w:afterLines="0" w:line="240" w:lineRule="auto"/>
        <w:rPr>
          <w:rFonts w:eastAsia="SimSun"/>
          <w:lang w:eastAsia="zh-CN"/>
        </w:rPr>
      </w:pPr>
      <w:r>
        <w:rPr>
          <w:rFonts w:eastAsia="SimSun" w:hint="eastAsia"/>
          <w:lang w:eastAsia="zh-CN"/>
        </w:rPr>
        <w:t>In</w:t>
      </w:r>
      <w:r w:rsidR="0071602E">
        <w:rPr>
          <w:rFonts w:eastAsia="SimSun" w:hint="eastAsia"/>
          <w:lang w:eastAsia="zh-CN"/>
        </w:rPr>
        <w:t xml:space="preserve"> some </w:t>
      </w:r>
      <w:r w:rsidR="00596958">
        <w:rPr>
          <w:rFonts w:eastAsia="SimSun" w:hint="eastAsia"/>
          <w:lang w:eastAsia="zh-CN"/>
        </w:rPr>
        <w:t>contributions,</w:t>
      </w:r>
      <w:r w:rsidR="0071602E">
        <w:rPr>
          <w:rFonts w:eastAsia="SimSun" w:hint="eastAsia"/>
          <w:lang w:eastAsia="zh-CN"/>
        </w:rPr>
        <w:t xml:space="preserve"> it was </w:t>
      </w:r>
      <w:r w:rsidR="00596958">
        <w:rPr>
          <w:rFonts w:eastAsia="SimSun" w:hint="eastAsia"/>
          <w:lang w:eastAsia="zh-CN"/>
        </w:rPr>
        <w:t>discussed</w:t>
      </w:r>
      <w:r w:rsidR="0071602E">
        <w:rPr>
          <w:rFonts w:eastAsia="SimSun" w:hint="eastAsia"/>
          <w:lang w:eastAsia="zh-CN"/>
        </w:rPr>
        <w:t xml:space="preserve"> to reorder the DL association set index </w:t>
      </w:r>
      <w:r w:rsidR="00C6516E">
        <w:rPr>
          <w:rFonts w:eastAsia="SimSun" w:hint="eastAsia"/>
          <w:lang w:eastAsia="zh-CN"/>
        </w:rPr>
        <w:t xml:space="preserve">for eIMTA UEs so that the common DL subframes are mapped firstly. </w:t>
      </w:r>
      <w:r w:rsidR="002350E1">
        <w:rPr>
          <w:rFonts w:eastAsia="SimSun" w:hint="eastAsia"/>
          <w:lang w:eastAsia="zh-CN"/>
        </w:rPr>
        <w:t xml:space="preserve">By using the reordering, eIMTA UE and legacy UE can share the HARQ-ACK resources based on the </w:t>
      </w:r>
      <w:r w:rsidR="000D47EF">
        <w:rPr>
          <w:rFonts w:eastAsia="SimSun"/>
          <w:lang w:eastAsia="zh-CN"/>
        </w:rPr>
        <w:t>E</w:t>
      </w:r>
      <w:r w:rsidR="002350E1">
        <w:rPr>
          <w:rFonts w:eastAsia="SimSun" w:hint="eastAsia"/>
          <w:lang w:eastAsia="zh-CN"/>
        </w:rPr>
        <w:t xml:space="preserve">CCE index and </w:t>
      </w:r>
      <w:r w:rsidR="002350E1">
        <w:rPr>
          <w:rFonts w:eastAsia="SimSun"/>
          <w:lang w:eastAsia="zh-CN"/>
        </w:rPr>
        <w:t>resource</w:t>
      </w:r>
      <w:r w:rsidR="002350E1">
        <w:rPr>
          <w:rFonts w:eastAsia="SimSun" w:hint="eastAsia"/>
          <w:lang w:eastAsia="zh-CN"/>
        </w:rPr>
        <w:t xml:space="preserve"> collision will not happen. However, with the reordering, the ARO bits will have invalid value configuration for some DL subframes. As illustrated </w:t>
      </w:r>
      <w:r w:rsidR="002350E1" w:rsidRPr="000D47EF">
        <w:rPr>
          <w:rFonts w:eastAsia="SimSun" w:hint="eastAsia"/>
          <w:lang w:eastAsia="zh-CN"/>
        </w:rPr>
        <w:t xml:space="preserve">in </w:t>
      </w:r>
      <w:r w:rsidR="002350E1" w:rsidRPr="00230B13">
        <w:rPr>
          <w:rFonts w:eastAsia="SimSun"/>
          <w:lang w:eastAsia="zh-CN"/>
        </w:rPr>
        <w:t>Figure 3</w:t>
      </w:r>
      <w:r w:rsidR="002350E1" w:rsidRPr="000D47EF">
        <w:rPr>
          <w:rFonts w:eastAsia="SimSun" w:hint="eastAsia"/>
          <w:lang w:eastAsia="zh-CN"/>
        </w:rPr>
        <w:t>, the ARO</w:t>
      </w:r>
      <w:r w:rsidR="002350E1">
        <w:rPr>
          <w:rFonts w:eastAsia="SimSun" w:hint="eastAsia"/>
          <w:lang w:eastAsia="zh-CN"/>
        </w:rPr>
        <w:t xml:space="preserve"> that maps the DL subframes #4 and #5 </w:t>
      </w:r>
      <w:r w:rsidR="00D251E8">
        <w:rPr>
          <w:rFonts w:eastAsia="SimSun" w:hint="eastAsia"/>
          <w:lang w:eastAsia="zh-CN"/>
        </w:rPr>
        <w:t xml:space="preserve">to a resource block of subframe #6 is an invalid configuration that might result in resource collision with legacy UE. Since one main function of the ARO is to reduce PUCCH overhead, the invalid ARO configuration will lead to inefficient operation. </w:t>
      </w:r>
    </w:p>
    <w:p w:rsidR="004D3DD0" w:rsidRDefault="00C53BA7" w:rsidP="004D3DD0">
      <w:pPr>
        <w:pStyle w:val="LGTdoc0"/>
        <w:spacing w:before="120" w:afterLines="0" w:line="240" w:lineRule="auto"/>
        <w:jc w:val="center"/>
        <w:rPr>
          <w:rFonts w:eastAsia="SimSun"/>
          <w:lang w:eastAsia="zh-CN"/>
        </w:rPr>
      </w:pPr>
      <w:r>
        <w:object w:dxaOrig="7034" w:dyaOrig="2171">
          <v:shape id="_x0000_i1027" type="#_x0000_t75" style="width:351.95pt;height:108.55pt" o:ole="">
            <v:imagedata r:id="rId15" o:title=""/>
          </v:shape>
          <o:OLEObject Type="Embed" ProgID="Visio.Drawing.11" ShapeID="_x0000_i1027" DrawAspect="Content" ObjectID="_1444850145" r:id="rId16"/>
        </w:object>
      </w:r>
    </w:p>
    <w:p w:rsidR="00596958" w:rsidRPr="005D31A1" w:rsidRDefault="00596958" w:rsidP="00596958">
      <w:pPr>
        <w:pStyle w:val="LGTdoc0"/>
        <w:spacing w:before="120" w:afterLines="0" w:line="240" w:lineRule="auto"/>
        <w:jc w:val="center"/>
        <w:rPr>
          <w:rFonts w:eastAsia="SimSun"/>
          <w:b/>
          <w:lang w:val="en-US" w:eastAsia="zh-CN"/>
        </w:rPr>
      </w:pPr>
      <w:r w:rsidRPr="005D31A1">
        <w:rPr>
          <w:rFonts w:eastAsia="SimSun" w:hint="eastAsia"/>
          <w:b/>
          <w:lang w:val="en-US" w:eastAsia="zh-CN"/>
        </w:rPr>
        <w:t xml:space="preserve">Figure </w:t>
      </w:r>
      <w:r w:rsidR="004D3DD0">
        <w:rPr>
          <w:rFonts w:eastAsia="SimSun" w:hint="eastAsia"/>
          <w:b/>
          <w:lang w:val="en-US" w:eastAsia="zh-CN"/>
        </w:rPr>
        <w:t>3</w:t>
      </w:r>
      <w:r>
        <w:rPr>
          <w:rFonts w:eastAsia="SimSun" w:hint="eastAsia"/>
          <w:b/>
          <w:lang w:val="en-US" w:eastAsia="zh-CN"/>
        </w:rPr>
        <w:t>: Resource mapping by ARO</w:t>
      </w:r>
      <w:r w:rsidR="00C53BA7">
        <w:rPr>
          <w:rFonts w:eastAsia="SimSun" w:hint="eastAsia"/>
          <w:b/>
          <w:lang w:val="en-US" w:eastAsia="zh-CN"/>
        </w:rPr>
        <w:t xml:space="preserve"> (left: reordering the DL </w:t>
      </w:r>
      <w:r w:rsidR="00C53BA7">
        <w:rPr>
          <w:rFonts w:eastAsia="SimSun"/>
          <w:b/>
          <w:lang w:val="en-US" w:eastAsia="zh-CN"/>
        </w:rPr>
        <w:t>association</w:t>
      </w:r>
      <w:r w:rsidR="00C53BA7">
        <w:rPr>
          <w:rFonts w:eastAsia="SimSun" w:hint="eastAsia"/>
          <w:b/>
          <w:lang w:val="en-US" w:eastAsia="zh-CN"/>
        </w:rPr>
        <w:t xml:space="preserve"> set index; right: new </w:t>
      </w:r>
      <w:r w:rsidR="00C53BA7">
        <w:rPr>
          <w:rFonts w:eastAsia="SimSun" w:hint="eastAsia"/>
          <w:b/>
          <w:lang w:val="en-US" w:eastAsia="zh-CN"/>
        </w:rPr>
        <w:lastRenderedPageBreak/>
        <w:t>resource mapping for the non-common DL subframes for eIMTA)</w:t>
      </w:r>
    </w:p>
    <w:p w:rsidR="00D251E8" w:rsidRPr="00D251E8" w:rsidRDefault="00D251E8" w:rsidP="00D251E8">
      <w:pPr>
        <w:spacing w:before="240" w:after="120"/>
        <w:rPr>
          <w:rFonts w:ascii="Times New Roman" w:eastAsiaTheme="minorEastAsia"/>
          <w:b/>
          <w:i/>
          <w:sz w:val="22"/>
          <w:szCs w:val="22"/>
          <w:lang w:eastAsia="zh-CN"/>
        </w:rPr>
      </w:pPr>
      <w:r>
        <w:rPr>
          <w:rFonts w:ascii="Times New Roman" w:eastAsiaTheme="minorEastAsia" w:hint="eastAsia"/>
          <w:b/>
          <w:i/>
          <w:sz w:val="22"/>
          <w:szCs w:val="22"/>
          <w:lang w:eastAsia="zh-CN"/>
        </w:rPr>
        <w:t>Observation</w:t>
      </w:r>
      <w:r w:rsidRPr="00D251E8">
        <w:rPr>
          <w:rFonts w:ascii="Times New Roman" w:eastAsiaTheme="minorEastAsia"/>
          <w:b/>
          <w:i/>
          <w:sz w:val="22"/>
          <w:szCs w:val="22"/>
          <w:lang w:eastAsia="zh-CN"/>
        </w:rPr>
        <w:t xml:space="preserve"> </w:t>
      </w:r>
      <w:r>
        <w:rPr>
          <w:rFonts w:ascii="Times New Roman" w:eastAsiaTheme="minorEastAsia" w:hint="eastAsia"/>
          <w:b/>
          <w:i/>
          <w:sz w:val="22"/>
          <w:szCs w:val="22"/>
          <w:lang w:eastAsia="zh-CN"/>
        </w:rPr>
        <w:t>2</w:t>
      </w:r>
      <w:r w:rsidRPr="00D251E8">
        <w:rPr>
          <w:rFonts w:ascii="Times New Roman" w:eastAsiaTheme="minorEastAsia"/>
          <w:b/>
          <w:i/>
          <w:sz w:val="22"/>
          <w:szCs w:val="22"/>
          <w:lang w:eastAsia="zh-CN"/>
        </w:rPr>
        <w:t xml:space="preserve">: </w:t>
      </w:r>
    </w:p>
    <w:p w:rsidR="00D251E8" w:rsidRPr="00EC7502" w:rsidRDefault="00D251E8" w:rsidP="00D251E8">
      <w:pPr>
        <w:widowControl/>
        <w:numPr>
          <w:ilvl w:val="0"/>
          <w:numId w:val="11"/>
        </w:numPr>
        <w:wordWrap/>
        <w:autoSpaceDE/>
        <w:autoSpaceDN/>
        <w:spacing w:before="120" w:after="180"/>
        <w:jc w:val="left"/>
        <w:rPr>
          <w:rFonts w:eastAsiaTheme="minorEastAsia"/>
          <w:i/>
          <w:szCs w:val="22"/>
          <w:lang w:eastAsia="zh-CN"/>
        </w:rPr>
      </w:pPr>
      <w:r>
        <w:rPr>
          <w:rFonts w:ascii="Times New Roman" w:eastAsiaTheme="minorEastAsia" w:hint="eastAsia"/>
          <w:i/>
          <w:sz w:val="22"/>
          <w:szCs w:val="22"/>
          <w:lang w:eastAsia="zh-CN"/>
        </w:rPr>
        <w:t>With reordering the DL association set index the ARO may perform inefficiently with limited gain to reduce PUCCH overhead.</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C6516E" w:rsidRPr="000641B2" w:rsidRDefault="00D251E8" w:rsidP="00647B59">
      <w:pPr>
        <w:pStyle w:val="LGTdoc0"/>
        <w:spacing w:before="120" w:afterLines="0" w:line="240" w:lineRule="auto"/>
        <w:rPr>
          <w:rFonts w:eastAsia="SimSun"/>
          <w:lang w:val="en-US" w:eastAsia="zh-CN"/>
        </w:rPr>
      </w:pPr>
      <w:r>
        <w:rPr>
          <w:rFonts w:eastAsia="SimSun" w:hint="eastAsia"/>
          <w:lang w:val="en-US" w:eastAsia="zh-CN"/>
        </w:rPr>
        <w:t xml:space="preserve">Therefore, the PUCCH resource mapping for EPDCCH can be further optimized. Similar to Option 2 for resource allocation for </w:t>
      </w:r>
      <w:r w:rsidR="000D47EF">
        <w:rPr>
          <w:rFonts w:eastAsia="SimSun"/>
          <w:lang w:val="en-US" w:eastAsia="zh-CN"/>
        </w:rPr>
        <w:t xml:space="preserve">the </w:t>
      </w:r>
      <w:r>
        <w:rPr>
          <w:rFonts w:eastAsia="SimSun" w:hint="eastAsia"/>
          <w:lang w:val="en-US" w:eastAsia="zh-CN"/>
        </w:rPr>
        <w:t xml:space="preserve">PDCCH case, new resource mapping is applied to the DL subframes that not common between two DL association sets. Different from the above reordering method, the </w:t>
      </w:r>
      <w:r w:rsidR="00B46E64">
        <w:rPr>
          <w:rFonts w:eastAsia="SimSun" w:hint="eastAsia"/>
          <w:lang w:val="en-US" w:eastAsia="zh-CN"/>
        </w:rPr>
        <w:t xml:space="preserve">common and non-common DL subframes will have independent DL association sets and the ARO can only be </w:t>
      </w:r>
      <w:r w:rsidR="00B46E64">
        <w:rPr>
          <w:rFonts w:eastAsia="SimSun"/>
          <w:lang w:val="en-US" w:eastAsia="zh-CN"/>
        </w:rPr>
        <w:t xml:space="preserve">used </w:t>
      </w:r>
      <w:r w:rsidR="00B46E64">
        <w:rPr>
          <w:rFonts w:eastAsia="SimSun" w:hint="eastAsia"/>
          <w:lang w:val="en-US" w:eastAsia="zh-CN"/>
        </w:rPr>
        <w:t xml:space="preserve">to adjust resource mapping for the corresponding DL </w:t>
      </w:r>
      <w:r w:rsidR="00B46E64">
        <w:rPr>
          <w:rFonts w:eastAsia="SimSun"/>
          <w:lang w:val="en-US" w:eastAsia="zh-CN"/>
        </w:rPr>
        <w:t>association</w:t>
      </w:r>
      <w:r w:rsidR="00B46E64">
        <w:rPr>
          <w:rFonts w:eastAsia="SimSun" w:hint="eastAsia"/>
          <w:lang w:val="en-US" w:eastAsia="zh-CN"/>
        </w:rPr>
        <w:t xml:space="preserve"> set. In addition, if some flexible subframes in the DL </w:t>
      </w:r>
      <w:r w:rsidR="00B46E64">
        <w:rPr>
          <w:rFonts w:eastAsia="SimSun"/>
          <w:lang w:val="en-US" w:eastAsia="zh-CN"/>
        </w:rPr>
        <w:t>association</w:t>
      </w:r>
      <w:r w:rsidR="00B46E64">
        <w:rPr>
          <w:rFonts w:eastAsia="SimSun" w:hint="eastAsia"/>
          <w:lang w:val="en-US" w:eastAsia="zh-CN"/>
        </w:rPr>
        <w:t xml:space="preserve"> set have been reconfigured as UL subframes, </w:t>
      </w:r>
      <w:r w:rsidR="000641B2">
        <w:rPr>
          <w:rFonts w:eastAsia="SimSun" w:hint="eastAsia"/>
          <w:lang w:val="en-US" w:eastAsia="zh-CN"/>
        </w:rPr>
        <w:t xml:space="preserve">the PUCCH resources can be released for PUSCH transmission by setting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ECCE,1,n-</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i1</m:t>
                </m:r>
              </m:sub>
            </m:sSub>
          </m:sub>
        </m:sSub>
      </m:oMath>
      <w:r w:rsidR="000641B2">
        <w:rPr>
          <w:rFonts w:eastAsia="SimSun" w:hint="eastAsia"/>
          <w:lang w:eastAsia="zh-CN"/>
        </w:rPr>
        <w:t>to zero.</w:t>
      </w:r>
    </w:p>
    <w:p w:rsidR="000641B2" w:rsidRPr="008F2949" w:rsidRDefault="000641B2" w:rsidP="000641B2">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3</w:t>
      </w:r>
      <w:r w:rsidRPr="008F2949">
        <w:rPr>
          <w:rFonts w:ascii="Times New Roman"/>
          <w:b/>
          <w:i/>
          <w:sz w:val="22"/>
          <w:szCs w:val="22"/>
        </w:rPr>
        <w:t xml:space="preserve">: </w:t>
      </w:r>
    </w:p>
    <w:p w:rsidR="000641B2" w:rsidRPr="00EC7502" w:rsidRDefault="000641B2" w:rsidP="000641B2">
      <w:pPr>
        <w:widowControl/>
        <w:numPr>
          <w:ilvl w:val="0"/>
          <w:numId w:val="11"/>
        </w:numPr>
        <w:wordWrap/>
        <w:autoSpaceDE/>
        <w:autoSpaceDN/>
        <w:spacing w:before="120" w:after="180"/>
        <w:jc w:val="left"/>
        <w:rPr>
          <w:rFonts w:eastAsiaTheme="minorEastAsia"/>
          <w:i/>
          <w:szCs w:val="22"/>
          <w:lang w:eastAsia="zh-CN"/>
        </w:rPr>
      </w:pPr>
      <w:r>
        <w:rPr>
          <w:rFonts w:ascii="Times New Roman" w:eastAsiaTheme="minorEastAsia" w:hint="eastAsia"/>
          <w:i/>
          <w:sz w:val="22"/>
          <w:szCs w:val="22"/>
          <w:lang w:eastAsia="zh-CN"/>
        </w:rPr>
        <w:t>The new PUCCH resource mapping for PDCCH case can also be applied for EPDCCH case.</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E779AB" w:rsidRPr="00BA1180" w:rsidRDefault="00E779AB" w:rsidP="00E779AB">
      <w:pPr>
        <w:pStyle w:val="BodyText"/>
      </w:pPr>
    </w:p>
    <w:p w:rsidR="00B50F3A" w:rsidRDefault="00B11BF7" w:rsidP="00B50F3A">
      <w:pPr>
        <w:pStyle w:val="LGTdoc1"/>
        <w:numPr>
          <w:ilvl w:val="0"/>
          <w:numId w:val="3"/>
        </w:numPr>
        <w:spacing w:beforeLines="0" w:after="0" w:afterAutospacing="0"/>
        <w:rPr>
          <w:rFonts w:ascii="Arial" w:hAnsi="Arial" w:cs="Arial"/>
          <w:lang w:val="en-US"/>
        </w:rPr>
      </w:pPr>
      <w:r>
        <w:rPr>
          <w:rFonts w:ascii="Arial" w:hAnsi="Arial" w:cs="Arial"/>
          <w:lang w:val="en-US"/>
        </w:rPr>
        <w:t>Conclusions</w:t>
      </w:r>
    </w:p>
    <w:p w:rsidR="00E779AB" w:rsidRDefault="00E779AB" w:rsidP="00E779AB">
      <w:pPr>
        <w:pStyle w:val="BodyText"/>
      </w:pPr>
    </w:p>
    <w:p w:rsidR="00872A1D" w:rsidRDefault="000641B2" w:rsidP="00E779AB">
      <w:pPr>
        <w:pStyle w:val="BodyText"/>
        <w:rPr>
          <w:rFonts w:eastAsiaTheme="minorEastAsia"/>
          <w:szCs w:val="22"/>
          <w:lang w:eastAsia="zh-CN"/>
        </w:rPr>
      </w:pPr>
      <w:r>
        <w:rPr>
          <w:rFonts w:eastAsiaTheme="minorEastAsia" w:hint="eastAsia"/>
          <w:szCs w:val="22"/>
          <w:lang w:eastAsia="zh-CN"/>
        </w:rPr>
        <w:t>T</w:t>
      </w:r>
      <w:r w:rsidR="008C4001" w:rsidRPr="00E779AB">
        <w:rPr>
          <w:szCs w:val="22"/>
        </w:rPr>
        <w:t xml:space="preserve">his contribution discussed </w:t>
      </w:r>
      <w:r w:rsidR="00B6099E">
        <w:rPr>
          <w:rFonts w:eastAsiaTheme="minorEastAsia" w:hint="eastAsia"/>
          <w:szCs w:val="22"/>
          <w:lang w:eastAsia="zh-CN"/>
        </w:rPr>
        <w:t>HARQ</w:t>
      </w:r>
      <w:r>
        <w:rPr>
          <w:rFonts w:eastAsiaTheme="minorEastAsia" w:hint="eastAsia"/>
          <w:szCs w:val="22"/>
          <w:lang w:eastAsia="zh-CN"/>
        </w:rPr>
        <w:t>-ACK PUCCH resource allocation in eIMTA.</w:t>
      </w:r>
      <w:r w:rsidR="00B6099E">
        <w:rPr>
          <w:rFonts w:eastAsiaTheme="minorEastAsia" w:hint="eastAsia"/>
          <w:szCs w:val="22"/>
          <w:lang w:eastAsia="zh-CN"/>
        </w:rPr>
        <w:t xml:space="preserve"> </w:t>
      </w:r>
      <w:r>
        <w:rPr>
          <w:rFonts w:eastAsiaTheme="minorEastAsia" w:hint="eastAsia"/>
          <w:szCs w:val="22"/>
          <w:lang w:eastAsia="zh-CN"/>
        </w:rPr>
        <w:t>T</w:t>
      </w:r>
      <w:r w:rsidR="00872A1D">
        <w:rPr>
          <w:rFonts w:eastAsiaTheme="minorEastAsia" w:hint="eastAsia"/>
          <w:szCs w:val="22"/>
          <w:lang w:eastAsia="zh-CN"/>
        </w:rPr>
        <w:t xml:space="preserve">he following </w:t>
      </w:r>
      <w:r w:rsidR="00BA7438">
        <w:rPr>
          <w:rFonts w:eastAsiaTheme="minorEastAsia" w:hint="eastAsia"/>
          <w:szCs w:val="22"/>
          <w:lang w:eastAsia="zh-CN"/>
        </w:rPr>
        <w:t>proposals</w:t>
      </w:r>
      <w:r>
        <w:rPr>
          <w:rFonts w:eastAsiaTheme="minorEastAsia" w:hint="eastAsia"/>
          <w:szCs w:val="22"/>
          <w:lang w:eastAsia="zh-CN"/>
        </w:rPr>
        <w:t xml:space="preserve"> and observations</w:t>
      </w:r>
      <w:r w:rsidR="00872A1D">
        <w:rPr>
          <w:rFonts w:eastAsiaTheme="minorEastAsia"/>
          <w:szCs w:val="22"/>
          <w:lang w:eastAsia="zh-CN"/>
        </w:rPr>
        <w:t xml:space="preserve"> are</w:t>
      </w:r>
      <w:r w:rsidR="00872A1D">
        <w:rPr>
          <w:rFonts w:eastAsiaTheme="minorEastAsia" w:hint="eastAsia"/>
          <w:szCs w:val="22"/>
          <w:lang w:eastAsia="zh-CN"/>
        </w:rPr>
        <w:t xml:space="preserve"> made:</w:t>
      </w:r>
    </w:p>
    <w:p w:rsidR="000641B2" w:rsidRPr="008F2949" w:rsidRDefault="000641B2" w:rsidP="000641B2">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0641B2" w:rsidRPr="00EC7502" w:rsidRDefault="000641B2" w:rsidP="000641B2">
      <w:pPr>
        <w:widowControl/>
        <w:numPr>
          <w:ilvl w:val="0"/>
          <w:numId w:val="11"/>
        </w:numPr>
        <w:wordWrap/>
        <w:autoSpaceDE/>
        <w:autoSpaceDN/>
        <w:spacing w:before="120" w:after="180"/>
        <w:jc w:val="left"/>
        <w:rPr>
          <w:rFonts w:eastAsiaTheme="minorEastAsia"/>
          <w:i/>
          <w:szCs w:val="22"/>
          <w:lang w:eastAsia="zh-CN"/>
        </w:rPr>
      </w:pPr>
      <w:r w:rsidRPr="00EC7502">
        <w:rPr>
          <w:rFonts w:ascii="Times New Roman" w:eastAsiaTheme="minorEastAsia" w:hint="eastAsia"/>
          <w:i/>
          <w:sz w:val="22"/>
          <w:szCs w:val="22"/>
          <w:lang w:eastAsia="zh-CN"/>
        </w:rPr>
        <w:t>New PUCCH resource mapping method for eIMTA UE</w:t>
      </w:r>
      <w:r>
        <w:rPr>
          <w:rFonts w:ascii="Times New Roman" w:eastAsiaTheme="minorEastAsia" w:hint="eastAsia"/>
          <w:i/>
          <w:sz w:val="22"/>
          <w:szCs w:val="22"/>
          <w:lang w:eastAsia="zh-CN"/>
        </w:rPr>
        <w:t xml:space="preserve">s shall allow </w:t>
      </w:r>
      <w:r>
        <w:rPr>
          <w:rFonts w:ascii="Times New Roman" w:eastAsiaTheme="minorEastAsia"/>
          <w:i/>
          <w:sz w:val="22"/>
          <w:szCs w:val="22"/>
          <w:lang w:eastAsia="zh-CN"/>
        </w:rPr>
        <w:t>reusing</w:t>
      </w:r>
      <w:r>
        <w:rPr>
          <w:rFonts w:ascii="Times New Roman" w:eastAsiaTheme="minorEastAsia" w:hint="eastAsia"/>
          <w:i/>
          <w:sz w:val="22"/>
          <w:szCs w:val="22"/>
          <w:lang w:eastAsia="zh-CN"/>
        </w:rPr>
        <w:t xml:space="preserve"> the PUCCH resources reserved for flexible subframes which are actually reconfigured as UL subframes.</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0641B2" w:rsidRPr="008F2949" w:rsidRDefault="000641B2" w:rsidP="000641B2">
      <w:pPr>
        <w:spacing w:before="240"/>
        <w:rPr>
          <w:rFonts w:ascii="Times New Roman"/>
          <w:b/>
          <w:i/>
          <w:sz w:val="22"/>
          <w:szCs w:val="22"/>
        </w:rPr>
      </w:pPr>
      <w:r w:rsidRPr="008F2949">
        <w:rPr>
          <w:rFonts w:ascii="Times New Roman"/>
          <w:b/>
          <w:i/>
          <w:sz w:val="22"/>
          <w:szCs w:val="22"/>
        </w:rPr>
        <w:t xml:space="preserve">Proposal </w:t>
      </w:r>
      <w:r w:rsidRPr="000641B2">
        <w:rPr>
          <w:rFonts w:ascii="Times New Roman" w:hint="eastAsia"/>
          <w:b/>
          <w:i/>
          <w:sz w:val="22"/>
          <w:szCs w:val="22"/>
        </w:rPr>
        <w:t>2</w:t>
      </w:r>
      <w:r w:rsidRPr="008F2949">
        <w:rPr>
          <w:rFonts w:ascii="Times New Roman"/>
          <w:b/>
          <w:i/>
          <w:sz w:val="22"/>
          <w:szCs w:val="22"/>
        </w:rPr>
        <w:t xml:space="preserve">: </w:t>
      </w:r>
    </w:p>
    <w:p w:rsidR="000641B2" w:rsidRPr="00EC7502" w:rsidRDefault="000641B2" w:rsidP="000641B2">
      <w:pPr>
        <w:widowControl/>
        <w:numPr>
          <w:ilvl w:val="0"/>
          <w:numId w:val="11"/>
        </w:numPr>
        <w:wordWrap/>
        <w:autoSpaceDE/>
        <w:autoSpaceDN/>
        <w:spacing w:before="120" w:after="180"/>
        <w:jc w:val="left"/>
        <w:rPr>
          <w:rFonts w:eastAsiaTheme="minorEastAsia"/>
          <w:i/>
          <w:szCs w:val="22"/>
          <w:lang w:eastAsia="zh-CN"/>
        </w:rPr>
      </w:pPr>
      <w:r>
        <w:rPr>
          <w:rFonts w:ascii="Times New Roman" w:eastAsiaTheme="minorEastAsia" w:hint="eastAsia"/>
          <w:i/>
          <w:sz w:val="22"/>
          <w:szCs w:val="22"/>
          <w:lang w:eastAsia="zh-CN"/>
        </w:rPr>
        <w:t xml:space="preserve">Consider Option 2 as PUCCH resource </w:t>
      </w:r>
      <w:r>
        <w:rPr>
          <w:rFonts w:ascii="Times New Roman" w:eastAsiaTheme="minorEastAsia"/>
          <w:i/>
          <w:sz w:val="22"/>
          <w:szCs w:val="22"/>
          <w:lang w:eastAsia="zh-CN"/>
        </w:rPr>
        <w:t>allocation</w:t>
      </w:r>
      <w:r>
        <w:rPr>
          <w:rFonts w:ascii="Times New Roman" w:eastAsiaTheme="minorEastAsia" w:hint="eastAsia"/>
          <w:i/>
          <w:sz w:val="22"/>
          <w:szCs w:val="22"/>
          <w:lang w:eastAsia="zh-CN"/>
        </w:rPr>
        <w:t xml:space="preserve"> method for eIMTA UEs</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0641B2" w:rsidRPr="008F2949" w:rsidRDefault="000641B2" w:rsidP="000641B2">
      <w:pPr>
        <w:spacing w:before="240" w:after="120"/>
        <w:rPr>
          <w:rFonts w:ascii="Times New Roman"/>
          <w:b/>
          <w:i/>
          <w:sz w:val="22"/>
          <w:szCs w:val="22"/>
        </w:rPr>
      </w:pPr>
      <w:r>
        <w:rPr>
          <w:rFonts w:ascii="Times New Roman" w:eastAsiaTheme="minorEastAsia" w:hint="eastAsia"/>
          <w:b/>
          <w:i/>
          <w:sz w:val="22"/>
          <w:szCs w:val="22"/>
          <w:lang w:eastAsia="zh-CN"/>
        </w:rPr>
        <w:t>Observation</w:t>
      </w:r>
      <w:r w:rsidRPr="008F2949">
        <w:rPr>
          <w:rFonts w:ascii="Times New Roman"/>
          <w:b/>
          <w:i/>
          <w:sz w:val="22"/>
          <w:szCs w:val="22"/>
        </w:rPr>
        <w:t xml:space="preserve">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0641B2" w:rsidRPr="00EC7502" w:rsidRDefault="000641B2" w:rsidP="000641B2">
      <w:pPr>
        <w:widowControl/>
        <w:numPr>
          <w:ilvl w:val="0"/>
          <w:numId w:val="11"/>
        </w:numPr>
        <w:wordWrap/>
        <w:autoSpaceDE/>
        <w:autoSpaceDN/>
        <w:spacing w:before="120" w:after="180"/>
        <w:jc w:val="left"/>
        <w:rPr>
          <w:rFonts w:eastAsiaTheme="minorEastAsia"/>
          <w:i/>
          <w:szCs w:val="22"/>
          <w:lang w:eastAsia="zh-CN"/>
        </w:rPr>
      </w:pPr>
      <w:r>
        <w:rPr>
          <w:rFonts w:ascii="Times New Roman" w:eastAsiaTheme="minorEastAsia" w:hint="eastAsia"/>
          <w:i/>
          <w:sz w:val="22"/>
          <w:szCs w:val="22"/>
          <w:lang w:eastAsia="zh-CN"/>
        </w:rPr>
        <w:t xml:space="preserve">PUCCH </w:t>
      </w:r>
      <w:r>
        <w:rPr>
          <w:rFonts w:ascii="Times New Roman" w:eastAsiaTheme="minorEastAsia"/>
          <w:i/>
          <w:sz w:val="22"/>
          <w:szCs w:val="22"/>
          <w:lang w:eastAsia="zh-CN"/>
        </w:rPr>
        <w:t>resource</w:t>
      </w:r>
      <w:r>
        <w:rPr>
          <w:rFonts w:ascii="Times New Roman" w:eastAsiaTheme="minorEastAsia" w:hint="eastAsia"/>
          <w:i/>
          <w:sz w:val="22"/>
          <w:szCs w:val="22"/>
          <w:lang w:eastAsia="zh-CN"/>
        </w:rPr>
        <w:t xml:space="preserve"> collision for EPDCCH cannot be avoided by </w:t>
      </w:r>
      <w:r w:rsidR="000D47EF">
        <w:rPr>
          <w:rFonts w:ascii="Times New Roman" w:eastAsiaTheme="minorEastAsia"/>
          <w:i/>
          <w:sz w:val="22"/>
          <w:szCs w:val="22"/>
          <w:lang w:eastAsia="zh-CN"/>
        </w:rPr>
        <w:t>utilizing</w:t>
      </w:r>
      <w:r w:rsidR="000D47EF">
        <w:rPr>
          <w:rFonts w:ascii="Times New Roman" w:eastAsiaTheme="minorEastAsia" w:hint="eastAsia"/>
          <w:i/>
          <w:sz w:val="22"/>
          <w:szCs w:val="22"/>
          <w:lang w:eastAsia="zh-CN"/>
        </w:rPr>
        <w:t xml:space="preserve"> </w:t>
      </w:r>
      <w:r>
        <w:rPr>
          <w:rFonts w:ascii="Times New Roman" w:eastAsiaTheme="minorEastAsia" w:hint="eastAsia"/>
          <w:i/>
          <w:sz w:val="22"/>
          <w:szCs w:val="22"/>
          <w:lang w:eastAsia="zh-CN"/>
        </w:rPr>
        <w:t>ARO filed in DCI format for eIMTA UEs.</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0641B2" w:rsidRPr="00D251E8" w:rsidRDefault="000641B2" w:rsidP="000641B2">
      <w:pPr>
        <w:spacing w:before="240" w:after="120"/>
        <w:rPr>
          <w:rFonts w:ascii="Times New Roman" w:eastAsiaTheme="minorEastAsia"/>
          <w:b/>
          <w:i/>
          <w:sz w:val="22"/>
          <w:szCs w:val="22"/>
          <w:lang w:eastAsia="zh-CN"/>
        </w:rPr>
      </w:pPr>
      <w:r>
        <w:rPr>
          <w:rFonts w:ascii="Times New Roman" w:eastAsiaTheme="minorEastAsia" w:hint="eastAsia"/>
          <w:b/>
          <w:i/>
          <w:sz w:val="22"/>
          <w:szCs w:val="22"/>
          <w:lang w:eastAsia="zh-CN"/>
        </w:rPr>
        <w:t>Observation</w:t>
      </w:r>
      <w:r w:rsidRPr="00D251E8">
        <w:rPr>
          <w:rFonts w:ascii="Times New Roman" w:eastAsiaTheme="minorEastAsia"/>
          <w:b/>
          <w:i/>
          <w:sz w:val="22"/>
          <w:szCs w:val="22"/>
          <w:lang w:eastAsia="zh-CN"/>
        </w:rPr>
        <w:t xml:space="preserve"> </w:t>
      </w:r>
      <w:r>
        <w:rPr>
          <w:rFonts w:ascii="Times New Roman" w:eastAsiaTheme="minorEastAsia" w:hint="eastAsia"/>
          <w:b/>
          <w:i/>
          <w:sz w:val="22"/>
          <w:szCs w:val="22"/>
          <w:lang w:eastAsia="zh-CN"/>
        </w:rPr>
        <w:t>2</w:t>
      </w:r>
      <w:r w:rsidRPr="00D251E8">
        <w:rPr>
          <w:rFonts w:ascii="Times New Roman" w:eastAsiaTheme="minorEastAsia"/>
          <w:b/>
          <w:i/>
          <w:sz w:val="22"/>
          <w:szCs w:val="22"/>
          <w:lang w:eastAsia="zh-CN"/>
        </w:rPr>
        <w:t xml:space="preserve">: </w:t>
      </w:r>
    </w:p>
    <w:p w:rsidR="000641B2" w:rsidRPr="00EC7502" w:rsidRDefault="000641B2" w:rsidP="000641B2">
      <w:pPr>
        <w:widowControl/>
        <w:numPr>
          <w:ilvl w:val="0"/>
          <w:numId w:val="11"/>
        </w:numPr>
        <w:wordWrap/>
        <w:autoSpaceDE/>
        <w:autoSpaceDN/>
        <w:spacing w:before="120" w:after="180"/>
        <w:jc w:val="left"/>
        <w:rPr>
          <w:rFonts w:eastAsiaTheme="minorEastAsia"/>
          <w:i/>
          <w:szCs w:val="22"/>
          <w:lang w:eastAsia="zh-CN"/>
        </w:rPr>
      </w:pPr>
      <w:r>
        <w:rPr>
          <w:rFonts w:ascii="Times New Roman" w:eastAsiaTheme="minorEastAsia" w:hint="eastAsia"/>
          <w:i/>
          <w:sz w:val="22"/>
          <w:szCs w:val="22"/>
          <w:lang w:eastAsia="zh-CN"/>
        </w:rPr>
        <w:t>With reordering the DL association set index the ARO may perform inefficiently with limited gain to reduce PUCCH overhead.</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0641B2" w:rsidRPr="008F2949" w:rsidRDefault="003C748F" w:rsidP="000641B2">
      <w:pPr>
        <w:spacing w:before="240"/>
        <w:rPr>
          <w:rFonts w:ascii="Times New Roman"/>
          <w:b/>
          <w:i/>
          <w:sz w:val="22"/>
          <w:szCs w:val="22"/>
        </w:rPr>
      </w:pPr>
      <w:r>
        <w:rPr>
          <w:rFonts w:ascii="Times New Roman" w:eastAsiaTheme="minorEastAsia" w:hint="eastAsia"/>
          <w:i/>
          <w:sz w:val="22"/>
          <w:szCs w:val="22"/>
          <w:lang w:eastAsia="zh-CN"/>
        </w:rPr>
        <w:t xml:space="preserve"> </w:t>
      </w:r>
      <w:r w:rsidR="000641B2" w:rsidRPr="008F2949">
        <w:rPr>
          <w:rFonts w:ascii="Times New Roman"/>
          <w:b/>
          <w:i/>
          <w:sz w:val="22"/>
          <w:szCs w:val="22"/>
        </w:rPr>
        <w:t xml:space="preserve">Proposal </w:t>
      </w:r>
      <w:r w:rsidR="000641B2">
        <w:rPr>
          <w:rFonts w:ascii="Times New Roman" w:eastAsiaTheme="minorEastAsia" w:hint="eastAsia"/>
          <w:b/>
          <w:i/>
          <w:sz w:val="22"/>
          <w:szCs w:val="22"/>
          <w:lang w:eastAsia="zh-CN"/>
        </w:rPr>
        <w:t>3</w:t>
      </w:r>
      <w:r w:rsidR="000641B2" w:rsidRPr="008F2949">
        <w:rPr>
          <w:rFonts w:ascii="Times New Roman"/>
          <w:b/>
          <w:i/>
          <w:sz w:val="22"/>
          <w:szCs w:val="22"/>
        </w:rPr>
        <w:t xml:space="preserve">: </w:t>
      </w:r>
    </w:p>
    <w:p w:rsidR="003C748F" w:rsidRPr="000641B2" w:rsidRDefault="000641B2" w:rsidP="0032624A">
      <w:pPr>
        <w:widowControl/>
        <w:numPr>
          <w:ilvl w:val="0"/>
          <w:numId w:val="11"/>
        </w:numPr>
        <w:wordWrap/>
        <w:autoSpaceDE/>
        <w:autoSpaceDN/>
        <w:spacing w:before="120" w:after="180"/>
        <w:jc w:val="left"/>
        <w:rPr>
          <w:rFonts w:eastAsiaTheme="minorEastAsia"/>
          <w:i/>
          <w:szCs w:val="22"/>
          <w:lang w:eastAsia="zh-CN"/>
        </w:rPr>
      </w:pPr>
      <w:r>
        <w:rPr>
          <w:rFonts w:ascii="Times New Roman" w:eastAsiaTheme="minorEastAsia" w:hint="eastAsia"/>
          <w:i/>
          <w:sz w:val="22"/>
          <w:szCs w:val="22"/>
          <w:lang w:eastAsia="zh-CN"/>
        </w:rPr>
        <w:t>The new PUCCH resource mapping for PDCCH case can also be applied for EPDCCH case.</w:t>
      </w:r>
      <w:r w:rsidRPr="00EC7502">
        <w:rPr>
          <w:rFonts w:ascii="Times New Roman" w:eastAsiaTheme="minorEastAsia" w:hint="eastAsia"/>
          <w:i/>
          <w:sz w:val="22"/>
          <w:szCs w:val="22"/>
          <w:lang w:eastAsia="zh-CN"/>
        </w:rPr>
        <w:t xml:space="preserve"> </w:t>
      </w:r>
      <w:r w:rsidRPr="00EC7502">
        <w:rPr>
          <w:rFonts w:eastAsiaTheme="minorEastAsia" w:hint="eastAsia"/>
          <w:i/>
          <w:szCs w:val="22"/>
          <w:lang w:eastAsia="zh-CN"/>
        </w:rPr>
        <w:t xml:space="preserve">  </w:t>
      </w:r>
    </w:p>
    <w:p w:rsidR="00F54298" w:rsidRDefault="00F54298" w:rsidP="00533B7D">
      <w:pPr>
        <w:pStyle w:val="LGTdoc1"/>
        <w:spacing w:beforeLines="0" w:before="120" w:after="0" w:afterAutospacing="0"/>
        <w:rPr>
          <w:lang w:val="en-US"/>
        </w:rPr>
      </w:pPr>
      <w:r w:rsidRPr="00285EEF">
        <w:rPr>
          <w:lang w:val="en-US"/>
        </w:rPr>
        <w:t>Reference</w:t>
      </w:r>
      <w:r w:rsidR="008D2A43" w:rsidRPr="00285EEF">
        <w:rPr>
          <w:lang w:val="en-US"/>
        </w:rPr>
        <w:t>s</w:t>
      </w:r>
    </w:p>
    <w:bookmarkEnd w:id="2"/>
    <w:bookmarkEnd w:id="3"/>
    <w:p w:rsidR="001E57ED" w:rsidRDefault="000641B2" w:rsidP="00755544">
      <w:pPr>
        <w:pStyle w:val="LGTdoc0"/>
        <w:spacing w:before="120" w:afterLines="0"/>
        <w:ind w:left="300" w:hanging="300"/>
        <w:rPr>
          <w:rFonts w:eastAsiaTheme="minorEastAsia" w:cs="Arial"/>
          <w:szCs w:val="22"/>
          <w:lang w:eastAsia="zh-CN"/>
        </w:rPr>
      </w:pPr>
      <w:r>
        <w:rPr>
          <w:rFonts w:eastAsia="Malgun Gothic" w:cs="Arial"/>
          <w:szCs w:val="22"/>
        </w:rPr>
        <w:t>[</w:t>
      </w:r>
      <w:r>
        <w:rPr>
          <w:rFonts w:eastAsiaTheme="minorEastAsia" w:cs="Arial" w:hint="eastAsia"/>
          <w:szCs w:val="22"/>
          <w:lang w:eastAsia="zh-CN"/>
        </w:rPr>
        <w:t>1</w:t>
      </w:r>
      <w:r w:rsidR="001E57ED">
        <w:rPr>
          <w:rFonts w:eastAsia="Malgun Gothic" w:cs="Arial"/>
          <w:szCs w:val="22"/>
        </w:rPr>
        <w:t xml:space="preserve">] </w:t>
      </w:r>
      <w:r w:rsidR="001E57ED" w:rsidRPr="00417AD7">
        <w:rPr>
          <w:rFonts w:eastAsia="Malgun Gothic" w:cs="Arial"/>
          <w:szCs w:val="22"/>
        </w:rPr>
        <w:t>R</w:t>
      </w:r>
      <w:r w:rsidR="001E57ED">
        <w:rPr>
          <w:rFonts w:eastAsia="Malgun Gothic" w:cs="Arial"/>
          <w:szCs w:val="22"/>
        </w:rPr>
        <w:t>1</w:t>
      </w:r>
      <w:r w:rsidR="00BA1180">
        <w:rPr>
          <w:rFonts w:eastAsia="Malgun Gothic" w:cs="Arial"/>
          <w:szCs w:val="22"/>
        </w:rPr>
        <w:t>-1</w:t>
      </w:r>
      <w:r w:rsidR="00BA1180">
        <w:rPr>
          <w:rFonts w:eastAsiaTheme="minorEastAsia" w:cs="Arial" w:hint="eastAsia"/>
          <w:szCs w:val="22"/>
          <w:lang w:eastAsia="zh-CN"/>
        </w:rPr>
        <w:t>3</w:t>
      </w:r>
      <w:r w:rsidR="007B74F6">
        <w:rPr>
          <w:rFonts w:eastAsiaTheme="minorEastAsia" w:cs="Arial" w:hint="eastAsia"/>
          <w:szCs w:val="22"/>
          <w:lang w:eastAsia="zh-CN"/>
        </w:rPr>
        <w:t>4509</w:t>
      </w:r>
      <w:r w:rsidR="001E57ED">
        <w:rPr>
          <w:rFonts w:eastAsia="Malgun Gothic" w:cs="Arial"/>
          <w:szCs w:val="22"/>
        </w:rPr>
        <w:t>, “</w:t>
      </w:r>
      <w:r w:rsidR="007B74F6">
        <w:rPr>
          <w:rFonts w:eastAsiaTheme="minorEastAsia" w:cs="Arial" w:hint="eastAsia"/>
          <w:szCs w:val="22"/>
          <w:lang w:eastAsia="zh-CN"/>
        </w:rPr>
        <w:t xml:space="preserve">HARQ-ACK PUCCH resource </w:t>
      </w:r>
      <w:r w:rsidR="00E34649">
        <w:rPr>
          <w:rFonts w:eastAsiaTheme="minorEastAsia" w:cs="Arial"/>
          <w:szCs w:val="22"/>
          <w:lang w:eastAsia="zh-CN"/>
        </w:rPr>
        <w:t>allocation</w:t>
      </w:r>
      <w:r w:rsidR="001E57ED" w:rsidRPr="00755544">
        <w:rPr>
          <w:rFonts w:eastAsia="Malgun Gothic" w:cs="Arial"/>
          <w:szCs w:val="22"/>
        </w:rPr>
        <w:t>,”</w:t>
      </w:r>
      <w:r w:rsidR="00BA1180">
        <w:rPr>
          <w:rFonts w:eastAsiaTheme="minorEastAsia" w:cs="Arial" w:hint="eastAsia"/>
          <w:szCs w:val="22"/>
          <w:lang w:eastAsia="zh-CN"/>
        </w:rPr>
        <w:t xml:space="preserve"> </w:t>
      </w:r>
      <w:r w:rsidR="007B74F6">
        <w:rPr>
          <w:rFonts w:eastAsiaTheme="minorEastAsia" w:cs="Arial" w:hint="eastAsia"/>
          <w:szCs w:val="22"/>
          <w:lang w:eastAsia="zh-CN"/>
        </w:rPr>
        <w:t xml:space="preserve">Huawei, </w:t>
      </w:r>
      <w:proofErr w:type="spellStart"/>
      <w:r w:rsidR="007B74F6">
        <w:rPr>
          <w:rFonts w:eastAsiaTheme="minorEastAsia" w:cs="Arial" w:hint="eastAsia"/>
          <w:szCs w:val="22"/>
          <w:lang w:eastAsia="zh-CN"/>
        </w:rPr>
        <w:t>HiSilicon</w:t>
      </w:r>
      <w:bookmarkStart w:id="4" w:name="_GoBack"/>
      <w:bookmarkEnd w:id="4"/>
      <w:proofErr w:type="spellEnd"/>
    </w:p>
    <w:p w:rsidR="007B74F6" w:rsidRPr="005D38DE" w:rsidRDefault="007B74F6" w:rsidP="007B74F6">
      <w:pPr>
        <w:pStyle w:val="LGTdoc0"/>
        <w:spacing w:before="120" w:afterLines="0"/>
        <w:ind w:left="300" w:hanging="300"/>
        <w:rPr>
          <w:rFonts w:eastAsiaTheme="minorEastAsia" w:cs="Arial"/>
          <w:szCs w:val="22"/>
          <w:lang w:eastAsia="zh-CN"/>
        </w:rPr>
      </w:pPr>
      <w:r>
        <w:rPr>
          <w:rFonts w:eastAsia="Malgun Gothic" w:cs="Arial"/>
          <w:szCs w:val="22"/>
        </w:rPr>
        <w:t>[</w:t>
      </w:r>
      <w:r>
        <w:rPr>
          <w:rFonts w:eastAsiaTheme="minorEastAsia" w:cs="Arial" w:hint="eastAsia"/>
          <w:szCs w:val="22"/>
          <w:lang w:eastAsia="zh-CN"/>
        </w:rPr>
        <w:t>2</w:t>
      </w:r>
      <w:r>
        <w:rPr>
          <w:rFonts w:eastAsia="Malgun Gothic" w:cs="Arial"/>
          <w:szCs w:val="22"/>
        </w:rPr>
        <w:t xml:space="preserve">] </w:t>
      </w:r>
      <w:r w:rsidRPr="00417AD7">
        <w:rPr>
          <w:rFonts w:eastAsia="Malgun Gothic" w:cs="Arial"/>
          <w:szCs w:val="22"/>
        </w:rPr>
        <w:t>R</w:t>
      </w:r>
      <w:r>
        <w:rPr>
          <w:rFonts w:eastAsia="Malgun Gothic" w:cs="Arial"/>
          <w:szCs w:val="22"/>
        </w:rPr>
        <w:t>1-1</w:t>
      </w:r>
      <w:r>
        <w:rPr>
          <w:rFonts w:eastAsiaTheme="minorEastAsia" w:cs="Arial" w:hint="eastAsia"/>
          <w:szCs w:val="22"/>
          <w:lang w:eastAsia="zh-CN"/>
        </w:rPr>
        <w:t>34157</w:t>
      </w:r>
      <w:r>
        <w:rPr>
          <w:rFonts w:eastAsia="Malgun Gothic" w:cs="Arial"/>
          <w:szCs w:val="22"/>
        </w:rPr>
        <w:t>, “</w:t>
      </w:r>
      <w:r>
        <w:rPr>
          <w:rFonts w:eastAsiaTheme="minorEastAsia" w:cs="Arial" w:hint="eastAsia"/>
          <w:szCs w:val="22"/>
          <w:lang w:eastAsia="zh-CN"/>
        </w:rPr>
        <w:t>On PUCCH HARQ-ACK procedure for eIMTA</w:t>
      </w:r>
      <w:r w:rsidRPr="00755544">
        <w:rPr>
          <w:rFonts w:eastAsia="Malgun Gothic" w:cs="Arial"/>
          <w:szCs w:val="22"/>
        </w:rPr>
        <w:t>,”</w:t>
      </w:r>
      <w:r>
        <w:rPr>
          <w:rFonts w:eastAsiaTheme="minorEastAsia" w:cs="Arial" w:hint="eastAsia"/>
          <w:szCs w:val="22"/>
          <w:lang w:eastAsia="zh-CN"/>
        </w:rPr>
        <w:t xml:space="preserve"> Samsung</w:t>
      </w:r>
    </w:p>
    <w:p w:rsidR="006A6956" w:rsidRPr="00724E15" w:rsidRDefault="006A6956" w:rsidP="006A6956">
      <w:pPr>
        <w:pStyle w:val="LGTdoc0"/>
        <w:spacing w:before="120" w:afterLines="0"/>
        <w:ind w:left="300" w:hanging="300"/>
        <w:rPr>
          <w:rFonts w:eastAsia="SimSun" w:cs="Arial"/>
          <w:szCs w:val="22"/>
          <w:lang w:eastAsia="zh-CN"/>
        </w:rPr>
      </w:pPr>
      <w:r w:rsidRPr="00755544">
        <w:rPr>
          <w:rFonts w:eastAsia="Malgun Gothic" w:cs="Arial"/>
          <w:szCs w:val="22"/>
        </w:rPr>
        <w:t>[</w:t>
      </w:r>
      <w:r>
        <w:rPr>
          <w:rFonts w:eastAsiaTheme="minorEastAsia" w:cs="Arial" w:hint="eastAsia"/>
          <w:szCs w:val="22"/>
          <w:lang w:eastAsia="zh-CN"/>
        </w:rPr>
        <w:t>3</w:t>
      </w:r>
      <w:r w:rsidRPr="00755544">
        <w:rPr>
          <w:rFonts w:eastAsia="Malgun Gothic" w:cs="Arial"/>
          <w:szCs w:val="22"/>
        </w:rPr>
        <w:t>] R1-13</w:t>
      </w:r>
      <w:r w:rsidR="007B74F6">
        <w:rPr>
          <w:rFonts w:eastAsiaTheme="minorEastAsia" w:cs="Arial" w:hint="eastAsia"/>
          <w:szCs w:val="22"/>
          <w:lang w:eastAsia="zh-CN"/>
        </w:rPr>
        <w:t>4124</w:t>
      </w:r>
      <w:r w:rsidRPr="00755544">
        <w:rPr>
          <w:rFonts w:eastAsia="Malgun Gothic" w:cs="Arial"/>
          <w:szCs w:val="22"/>
        </w:rPr>
        <w:t>, “</w:t>
      </w:r>
      <w:r w:rsidR="007B74F6">
        <w:rPr>
          <w:rFonts w:eastAsiaTheme="minorEastAsia" w:cs="Arial" w:hint="eastAsia"/>
          <w:szCs w:val="22"/>
          <w:lang w:eastAsia="zh-CN"/>
        </w:rPr>
        <w:t xml:space="preserve">On </w:t>
      </w:r>
      <w:r w:rsidR="003C748F" w:rsidRPr="003C748F">
        <w:rPr>
          <w:rFonts w:cs="Arial"/>
          <w:szCs w:val="22"/>
        </w:rPr>
        <w:t xml:space="preserve">HARQ </w:t>
      </w:r>
      <w:r w:rsidR="007B74F6">
        <w:rPr>
          <w:rFonts w:eastAsiaTheme="minorEastAsia" w:cs="Arial" w:hint="eastAsia"/>
          <w:szCs w:val="22"/>
          <w:lang w:eastAsia="zh-CN"/>
        </w:rPr>
        <w:t xml:space="preserve">aspects </w:t>
      </w:r>
      <w:r w:rsidR="003C748F" w:rsidRPr="003C748F">
        <w:rPr>
          <w:rFonts w:cs="Arial"/>
          <w:szCs w:val="22"/>
        </w:rPr>
        <w:t xml:space="preserve">for </w:t>
      </w:r>
      <w:r w:rsidR="007B74F6">
        <w:rPr>
          <w:rFonts w:eastAsiaTheme="minorEastAsia" w:cs="Arial" w:hint="eastAsia"/>
          <w:szCs w:val="22"/>
          <w:lang w:eastAsia="zh-CN"/>
        </w:rPr>
        <w:t>eIMTA</w:t>
      </w:r>
      <w:r w:rsidRPr="00755544">
        <w:rPr>
          <w:rFonts w:eastAsia="Malgun Gothic" w:cs="Arial"/>
          <w:szCs w:val="22"/>
        </w:rPr>
        <w:t xml:space="preserve">,” </w:t>
      </w:r>
      <w:r w:rsidR="007B74F6">
        <w:rPr>
          <w:rFonts w:eastAsiaTheme="minorEastAsia" w:cs="Arial" w:hint="eastAsia"/>
          <w:szCs w:val="22"/>
          <w:lang w:eastAsia="zh-CN"/>
        </w:rPr>
        <w:t>Intel Corporation</w:t>
      </w:r>
    </w:p>
    <w:p w:rsidR="00755544" w:rsidRDefault="00755544" w:rsidP="00755544">
      <w:pPr>
        <w:pStyle w:val="LGTdoc0"/>
        <w:spacing w:before="120" w:afterLines="0"/>
        <w:ind w:left="300" w:hanging="300"/>
        <w:rPr>
          <w:rFonts w:eastAsiaTheme="minorEastAsia" w:cs="Arial"/>
          <w:szCs w:val="22"/>
          <w:lang w:eastAsia="zh-CN"/>
        </w:rPr>
      </w:pPr>
      <w:r w:rsidRPr="00755544">
        <w:rPr>
          <w:rFonts w:eastAsia="Malgun Gothic" w:cs="Arial"/>
          <w:szCs w:val="22"/>
        </w:rPr>
        <w:t>[</w:t>
      </w:r>
      <w:r w:rsidR="006A6956">
        <w:rPr>
          <w:rFonts w:eastAsiaTheme="minorEastAsia" w:cs="Arial" w:hint="eastAsia"/>
          <w:szCs w:val="22"/>
          <w:lang w:eastAsia="zh-CN"/>
        </w:rPr>
        <w:t>4</w:t>
      </w:r>
      <w:r w:rsidRPr="00755544">
        <w:rPr>
          <w:rFonts w:eastAsia="Malgun Gothic" w:cs="Arial"/>
          <w:szCs w:val="22"/>
        </w:rPr>
        <w:t>] R1-13</w:t>
      </w:r>
      <w:r w:rsidR="007B74F6">
        <w:rPr>
          <w:rFonts w:eastAsiaTheme="minorEastAsia" w:cs="Arial" w:hint="eastAsia"/>
          <w:szCs w:val="22"/>
          <w:lang w:eastAsia="zh-CN"/>
        </w:rPr>
        <w:t>4238</w:t>
      </w:r>
      <w:r w:rsidRPr="00755544">
        <w:rPr>
          <w:rFonts w:eastAsia="Malgun Gothic" w:cs="Arial"/>
          <w:szCs w:val="22"/>
        </w:rPr>
        <w:t>, “</w:t>
      </w:r>
      <w:r w:rsidR="00CE5D0E">
        <w:rPr>
          <w:rFonts w:cs="Arial"/>
          <w:szCs w:val="22"/>
        </w:rPr>
        <w:t>Backward compatibility for</w:t>
      </w:r>
      <w:r w:rsidR="00CE5D0E" w:rsidRPr="0029145C">
        <w:rPr>
          <w:rFonts w:cs="Arial"/>
          <w:szCs w:val="22"/>
        </w:rPr>
        <w:t xml:space="preserve"> TDD eIMTA system</w:t>
      </w:r>
      <w:r w:rsidRPr="00755544">
        <w:rPr>
          <w:rFonts w:eastAsia="Malgun Gothic" w:cs="Arial"/>
          <w:szCs w:val="22"/>
        </w:rPr>
        <w:t xml:space="preserve">,” </w:t>
      </w:r>
      <w:r w:rsidR="00CE5D0E">
        <w:rPr>
          <w:rFonts w:eastAsiaTheme="minorEastAsia" w:cs="Arial" w:hint="eastAsia"/>
          <w:szCs w:val="22"/>
          <w:lang w:eastAsia="zh-CN"/>
        </w:rPr>
        <w:t>NEC Group</w:t>
      </w:r>
    </w:p>
    <w:p w:rsidR="007B74F6" w:rsidRDefault="007B74F6" w:rsidP="007B74F6">
      <w:pPr>
        <w:pStyle w:val="LGTdoc0"/>
        <w:spacing w:before="120" w:afterLines="0"/>
        <w:ind w:left="300" w:hanging="300"/>
        <w:rPr>
          <w:rFonts w:eastAsiaTheme="minorEastAsia" w:cs="Arial"/>
          <w:szCs w:val="22"/>
          <w:lang w:eastAsia="zh-CN"/>
        </w:rPr>
      </w:pPr>
      <w:r w:rsidRPr="00755544">
        <w:rPr>
          <w:rFonts w:eastAsia="Malgun Gothic" w:cs="Arial"/>
          <w:szCs w:val="22"/>
        </w:rPr>
        <w:t>[</w:t>
      </w:r>
      <w:r>
        <w:rPr>
          <w:rFonts w:eastAsiaTheme="minorEastAsia" w:cs="Arial" w:hint="eastAsia"/>
          <w:szCs w:val="22"/>
          <w:lang w:eastAsia="zh-CN"/>
        </w:rPr>
        <w:t>5</w:t>
      </w:r>
      <w:r w:rsidRPr="00755544">
        <w:rPr>
          <w:rFonts w:eastAsia="Malgun Gothic" w:cs="Arial"/>
          <w:szCs w:val="22"/>
        </w:rPr>
        <w:t>] R1-13</w:t>
      </w:r>
      <w:r>
        <w:rPr>
          <w:rFonts w:eastAsiaTheme="minorEastAsia" w:cs="Arial" w:hint="eastAsia"/>
          <w:szCs w:val="22"/>
          <w:lang w:eastAsia="zh-CN"/>
        </w:rPr>
        <w:t>4</w:t>
      </w:r>
      <w:r w:rsidR="0042430A">
        <w:rPr>
          <w:rFonts w:eastAsiaTheme="minorEastAsia" w:cs="Arial" w:hint="eastAsia"/>
          <w:szCs w:val="22"/>
          <w:lang w:eastAsia="zh-CN"/>
        </w:rPr>
        <w:t>4</w:t>
      </w:r>
      <w:r>
        <w:rPr>
          <w:rFonts w:eastAsiaTheme="minorEastAsia" w:cs="Arial" w:hint="eastAsia"/>
          <w:szCs w:val="22"/>
          <w:lang w:eastAsia="zh-CN"/>
        </w:rPr>
        <w:t>3</w:t>
      </w:r>
      <w:r w:rsidR="0042430A">
        <w:rPr>
          <w:rFonts w:eastAsiaTheme="minorEastAsia" w:cs="Arial" w:hint="eastAsia"/>
          <w:szCs w:val="22"/>
          <w:lang w:eastAsia="zh-CN"/>
        </w:rPr>
        <w:t>5</w:t>
      </w:r>
      <w:r w:rsidRPr="00755544">
        <w:rPr>
          <w:rFonts w:eastAsia="Malgun Gothic" w:cs="Arial"/>
          <w:szCs w:val="22"/>
        </w:rPr>
        <w:t>, “</w:t>
      </w:r>
      <w:r w:rsidR="0042430A">
        <w:rPr>
          <w:rFonts w:eastAsiaTheme="minorEastAsia" w:cs="Arial" w:hint="eastAsia"/>
          <w:szCs w:val="22"/>
          <w:lang w:eastAsia="zh-CN"/>
        </w:rPr>
        <w:t>Discussion on HARQ-ACK resource in TDD eIMTA systems</w:t>
      </w:r>
      <w:r w:rsidRPr="00755544">
        <w:rPr>
          <w:rFonts w:eastAsia="Malgun Gothic" w:cs="Arial"/>
          <w:szCs w:val="22"/>
        </w:rPr>
        <w:t xml:space="preserve">,” </w:t>
      </w:r>
      <w:proofErr w:type="spellStart"/>
      <w:r w:rsidR="0042430A">
        <w:rPr>
          <w:rFonts w:eastAsiaTheme="minorEastAsia" w:cs="Arial" w:hint="eastAsia"/>
          <w:szCs w:val="22"/>
          <w:lang w:eastAsia="zh-CN"/>
        </w:rPr>
        <w:t>MediaTek</w:t>
      </w:r>
      <w:proofErr w:type="spellEnd"/>
      <w:r w:rsidR="0042430A">
        <w:rPr>
          <w:rFonts w:eastAsiaTheme="minorEastAsia" w:cs="Arial" w:hint="eastAsia"/>
          <w:szCs w:val="22"/>
          <w:lang w:eastAsia="zh-CN"/>
        </w:rPr>
        <w:t xml:space="preserve"> Inc.</w:t>
      </w:r>
    </w:p>
    <w:p w:rsidR="0042430A" w:rsidRDefault="0042430A" w:rsidP="007B74F6">
      <w:pPr>
        <w:pStyle w:val="LGTdoc0"/>
        <w:spacing w:before="120" w:afterLines="0"/>
        <w:ind w:left="300" w:hanging="300"/>
        <w:rPr>
          <w:rFonts w:eastAsiaTheme="minorEastAsia" w:cs="Arial"/>
          <w:szCs w:val="22"/>
          <w:lang w:eastAsia="zh-CN"/>
        </w:rPr>
      </w:pPr>
      <w:r>
        <w:rPr>
          <w:rFonts w:eastAsiaTheme="minorEastAsia" w:cs="Arial" w:hint="eastAsia"/>
          <w:szCs w:val="22"/>
          <w:lang w:eastAsia="zh-CN"/>
        </w:rPr>
        <w:t xml:space="preserve">[6] R1-134644, </w:t>
      </w:r>
      <w:r>
        <w:rPr>
          <w:rFonts w:eastAsiaTheme="minorEastAsia" w:cs="Arial"/>
          <w:szCs w:val="22"/>
          <w:lang w:eastAsia="zh-CN"/>
        </w:rPr>
        <w:t>“</w:t>
      </w:r>
      <w:r>
        <w:rPr>
          <w:rFonts w:eastAsiaTheme="minorEastAsia" w:cs="Arial" w:hint="eastAsia"/>
          <w:szCs w:val="22"/>
          <w:lang w:eastAsia="zh-CN"/>
        </w:rPr>
        <w:t>Remaining details for HARQ feedback mapping,</w:t>
      </w:r>
      <w:r>
        <w:rPr>
          <w:rFonts w:eastAsiaTheme="minorEastAsia" w:cs="Arial"/>
          <w:szCs w:val="22"/>
          <w:lang w:eastAsia="zh-CN"/>
        </w:rPr>
        <w:t>”</w:t>
      </w:r>
      <w:r>
        <w:rPr>
          <w:rFonts w:eastAsiaTheme="minorEastAsia" w:cs="Arial" w:hint="eastAsia"/>
          <w:szCs w:val="22"/>
          <w:lang w:eastAsia="zh-CN"/>
        </w:rPr>
        <w:t xml:space="preserve"> Ericsson</w:t>
      </w:r>
    </w:p>
    <w:p w:rsidR="007B74F6" w:rsidRPr="00724E15" w:rsidRDefault="0042430A" w:rsidP="00755544">
      <w:pPr>
        <w:pStyle w:val="LGTdoc0"/>
        <w:spacing w:before="120" w:afterLines="0"/>
        <w:ind w:left="300" w:hanging="300"/>
        <w:rPr>
          <w:rFonts w:eastAsia="SimSun" w:cs="Arial"/>
          <w:szCs w:val="22"/>
          <w:lang w:eastAsia="zh-CN"/>
        </w:rPr>
      </w:pPr>
      <w:r>
        <w:rPr>
          <w:rFonts w:eastAsiaTheme="minorEastAsia" w:cs="Arial" w:hint="eastAsia"/>
          <w:szCs w:val="22"/>
          <w:lang w:eastAsia="zh-CN"/>
        </w:rPr>
        <w:t xml:space="preserve">[7] R1-124601, </w:t>
      </w:r>
      <w:r>
        <w:rPr>
          <w:rFonts w:eastAsiaTheme="minorEastAsia" w:cs="Arial"/>
          <w:szCs w:val="22"/>
          <w:lang w:eastAsia="zh-CN"/>
        </w:rPr>
        <w:t>“</w:t>
      </w:r>
      <w:r>
        <w:rPr>
          <w:rFonts w:eastAsiaTheme="minorEastAsia" w:cs="Arial" w:hint="eastAsia"/>
          <w:szCs w:val="22"/>
          <w:lang w:eastAsia="zh-CN"/>
        </w:rPr>
        <w:t>HARQ Design for TDD UL-DL reconfiguration,</w:t>
      </w:r>
      <w:r>
        <w:rPr>
          <w:rFonts w:eastAsiaTheme="minorEastAsia" w:cs="Arial"/>
          <w:szCs w:val="22"/>
          <w:lang w:eastAsia="zh-CN"/>
        </w:rPr>
        <w:t>”</w:t>
      </w:r>
      <w:r>
        <w:rPr>
          <w:rFonts w:eastAsiaTheme="minorEastAsia" w:cs="Arial" w:hint="eastAsia"/>
          <w:szCs w:val="22"/>
          <w:lang w:eastAsia="zh-CN"/>
        </w:rPr>
        <w:t xml:space="preserve"> Qualcomm Inc.</w:t>
      </w:r>
    </w:p>
    <w:sectPr w:rsidR="007B74F6" w:rsidRPr="00724E15"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E34" w:rsidRDefault="00D32E34">
      <w:r>
        <w:separator/>
      </w:r>
    </w:p>
  </w:endnote>
  <w:endnote w:type="continuationSeparator" w:id="0">
    <w:p w:rsidR="00D32E34" w:rsidRDefault="00D32E34">
      <w:r>
        <w:continuationSeparator/>
      </w:r>
    </w:p>
  </w:endnote>
  <w:endnote w:type="continuationNotice" w:id="1">
    <w:p w:rsidR="00D32E34" w:rsidRDefault="00D32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62D" w:rsidRDefault="00CF66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F662D" w:rsidRDefault="00CF66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62D" w:rsidRDefault="00CF66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34649">
      <w:rPr>
        <w:rStyle w:val="PageNumber"/>
        <w:noProof/>
      </w:rPr>
      <w:t>4</w:t>
    </w:r>
    <w:r>
      <w:rPr>
        <w:rStyle w:val="PageNumber"/>
      </w:rPr>
      <w:fldChar w:fldCharType="end"/>
    </w:r>
  </w:p>
  <w:p w:rsidR="00CF662D" w:rsidRDefault="00CF66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E34" w:rsidRDefault="00D32E34">
      <w:r>
        <w:separator/>
      </w:r>
    </w:p>
  </w:footnote>
  <w:footnote w:type="continuationSeparator" w:id="0">
    <w:p w:rsidR="00D32E34" w:rsidRDefault="00D32E34">
      <w:r>
        <w:continuationSeparator/>
      </w:r>
    </w:p>
  </w:footnote>
  <w:footnote w:type="continuationNotice" w:id="1">
    <w:p w:rsidR="00D32E34" w:rsidRDefault="00D32E3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3E2"/>
    <w:multiLevelType w:val="hybridMultilevel"/>
    <w:tmpl w:val="328C8048"/>
    <w:lvl w:ilvl="0" w:tplc="0C28DE38">
      <w:start w:val="141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0BE157B9"/>
    <w:multiLevelType w:val="hybridMultilevel"/>
    <w:tmpl w:val="EF645D2C"/>
    <w:lvl w:ilvl="0" w:tplc="65F2890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2BC43E57"/>
    <w:multiLevelType w:val="hybridMultilevel"/>
    <w:tmpl w:val="00749F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4A719E"/>
    <w:multiLevelType w:val="hybridMultilevel"/>
    <w:tmpl w:val="75BE7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DE4153D"/>
    <w:multiLevelType w:val="hybridMultilevel"/>
    <w:tmpl w:val="F998CCAA"/>
    <w:lvl w:ilvl="0" w:tplc="1854A010">
      <w:start w:val="1"/>
      <w:numFmt w:val="bullet"/>
      <w:lvlText w:val="•"/>
      <w:lvlJc w:val="left"/>
      <w:pPr>
        <w:tabs>
          <w:tab w:val="num" w:pos="720"/>
        </w:tabs>
        <w:ind w:left="720" w:hanging="360"/>
      </w:pPr>
      <w:rPr>
        <w:rFonts w:ascii="Arial" w:hAnsi="Arial" w:hint="default"/>
      </w:rPr>
    </w:lvl>
    <w:lvl w:ilvl="1" w:tplc="050CE096">
      <w:start w:val="2478"/>
      <w:numFmt w:val="bullet"/>
      <w:lvlText w:val="–"/>
      <w:lvlJc w:val="left"/>
      <w:pPr>
        <w:tabs>
          <w:tab w:val="num" w:pos="1440"/>
        </w:tabs>
        <w:ind w:left="1440" w:hanging="360"/>
      </w:pPr>
      <w:rPr>
        <w:rFonts w:ascii="Arial" w:hAnsi="Arial" w:hint="default"/>
      </w:rPr>
    </w:lvl>
    <w:lvl w:ilvl="2" w:tplc="5F42C6F8" w:tentative="1">
      <w:start w:val="1"/>
      <w:numFmt w:val="bullet"/>
      <w:lvlText w:val="•"/>
      <w:lvlJc w:val="left"/>
      <w:pPr>
        <w:tabs>
          <w:tab w:val="num" w:pos="2160"/>
        </w:tabs>
        <w:ind w:left="2160" w:hanging="360"/>
      </w:pPr>
      <w:rPr>
        <w:rFonts w:ascii="Arial" w:hAnsi="Arial" w:hint="default"/>
      </w:rPr>
    </w:lvl>
    <w:lvl w:ilvl="3" w:tplc="AB4890F0" w:tentative="1">
      <w:start w:val="1"/>
      <w:numFmt w:val="bullet"/>
      <w:lvlText w:val="•"/>
      <w:lvlJc w:val="left"/>
      <w:pPr>
        <w:tabs>
          <w:tab w:val="num" w:pos="2880"/>
        </w:tabs>
        <w:ind w:left="2880" w:hanging="360"/>
      </w:pPr>
      <w:rPr>
        <w:rFonts w:ascii="Arial" w:hAnsi="Arial" w:hint="default"/>
      </w:rPr>
    </w:lvl>
    <w:lvl w:ilvl="4" w:tplc="D910C490" w:tentative="1">
      <w:start w:val="1"/>
      <w:numFmt w:val="bullet"/>
      <w:lvlText w:val="•"/>
      <w:lvlJc w:val="left"/>
      <w:pPr>
        <w:tabs>
          <w:tab w:val="num" w:pos="3600"/>
        </w:tabs>
        <w:ind w:left="3600" w:hanging="360"/>
      </w:pPr>
      <w:rPr>
        <w:rFonts w:ascii="Arial" w:hAnsi="Arial" w:hint="default"/>
      </w:rPr>
    </w:lvl>
    <w:lvl w:ilvl="5" w:tplc="78525C16" w:tentative="1">
      <w:start w:val="1"/>
      <w:numFmt w:val="bullet"/>
      <w:lvlText w:val="•"/>
      <w:lvlJc w:val="left"/>
      <w:pPr>
        <w:tabs>
          <w:tab w:val="num" w:pos="4320"/>
        </w:tabs>
        <w:ind w:left="4320" w:hanging="360"/>
      </w:pPr>
      <w:rPr>
        <w:rFonts w:ascii="Arial" w:hAnsi="Arial" w:hint="default"/>
      </w:rPr>
    </w:lvl>
    <w:lvl w:ilvl="6" w:tplc="0C9E4642" w:tentative="1">
      <w:start w:val="1"/>
      <w:numFmt w:val="bullet"/>
      <w:lvlText w:val="•"/>
      <w:lvlJc w:val="left"/>
      <w:pPr>
        <w:tabs>
          <w:tab w:val="num" w:pos="5040"/>
        </w:tabs>
        <w:ind w:left="5040" w:hanging="360"/>
      </w:pPr>
      <w:rPr>
        <w:rFonts w:ascii="Arial" w:hAnsi="Arial" w:hint="default"/>
      </w:rPr>
    </w:lvl>
    <w:lvl w:ilvl="7" w:tplc="AE36C84C" w:tentative="1">
      <w:start w:val="1"/>
      <w:numFmt w:val="bullet"/>
      <w:lvlText w:val="•"/>
      <w:lvlJc w:val="left"/>
      <w:pPr>
        <w:tabs>
          <w:tab w:val="num" w:pos="5760"/>
        </w:tabs>
        <w:ind w:left="5760" w:hanging="360"/>
      </w:pPr>
      <w:rPr>
        <w:rFonts w:ascii="Arial" w:hAnsi="Arial" w:hint="default"/>
      </w:rPr>
    </w:lvl>
    <w:lvl w:ilvl="8" w:tplc="C6F4376E" w:tentative="1">
      <w:start w:val="1"/>
      <w:numFmt w:val="bullet"/>
      <w:lvlText w:val="•"/>
      <w:lvlJc w:val="left"/>
      <w:pPr>
        <w:tabs>
          <w:tab w:val="num" w:pos="6480"/>
        </w:tabs>
        <w:ind w:left="6480" w:hanging="360"/>
      </w:pPr>
      <w:rPr>
        <w:rFonts w:ascii="Arial" w:hAnsi="Arial" w:hint="default"/>
      </w:rPr>
    </w:lvl>
  </w:abstractNum>
  <w:abstractNum w:abstractNumId="7">
    <w:nsid w:val="476816DD"/>
    <w:multiLevelType w:val="hybridMultilevel"/>
    <w:tmpl w:val="76C619C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8024B0E"/>
    <w:multiLevelType w:val="hybridMultilevel"/>
    <w:tmpl w:val="D180C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E768DF"/>
    <w:multiLevelType w:val="hybridMultilevel"/>
    <w:tmpl w:val="E8DE17E6"/>
    <w:lvl w:ilvl="0" w:tplc="E362A77E">
      <w:start w:val="1"/>
      <w:numFmt w:val="bullet"/>
      <w:lvlText w:val="•"/>
      <w:lvlJc w:val="left"/>
      <w:pPr>
        <w:tabs>
          <w:tab w:val="num" w:pos="720"/>
        </w:tabs>
        <w:ind w:left="720" w:hanging="360"/>
      </w:pPr>
      <w:rPr>
        <w:rFonts w:ascii="Arial" w:hAnsi="Arial" w:hint="default"/>
      </w:rPr>
    </w:lvl>
    <w:lvl w:ilvl="1" w:tplc="0C28DE38">
      <w:start w:val="1418"/>
      <w:numFmt w:val="bullet"/>
      <w:lvlText w:val="•"/>
      <w:lvlJc w:val="left"/>
      <w:pPr>
        <w:tabs>
          <w:tab w:val="num" w:pos="1440"/>
        </w:tabs>
        <w:ind w:left="1440" w:hanging="360"/>
      </w:pPr>
      <w:rPr>
        <w:rFonts w:ascii="Arial" w:hAnsi="Arial" w:hint="default"/>
      </w:rPr>
    </w:lvl>
    <w:lvl w:ilvl="2" w:tplc="B5ECB3A0" w:tentative="1">
      <w:start w:val="1"/>
      <w:numFmt w:val="bullet"/>
      <w:lvlText w:val="•"/>
      <w:lvlJc w:val="left"/>
      <w:pPr>
        <w:tabs>
          <w:tab w:val="num" w:pos="2160"/>
        </w:tabs>
        <w:ind w:left="2160" w:hanging="360"/>
      </w:pPr>
      <w:rPr>
        <w:rFonts w:ascii="Arial" w:hAnsi="Arial" w:hint="default"/>
      </w:rPr>
    </w:lvl>
    <w:lvl w:ilvl="3" w:tplc="7F4635BA" w:tentative="1">
      <w:start w:val="1"/>
      <w:numFmt w:val="bullet"/>
      <w:lvlText w:val="•"/>
      <w:lvlJc w:val="left"/>
      <w:pPr>
        <w:tabs>
          <w:tab w:val="num" w:pos="2880"/>
        </w:tabs>
        <w:ind w:left="2880" w:hanging="360"/>
      </w:pPr>
      <w:rPr>
        <w:rFonts w:ascii="Arial" w:hAnsi="Arial" w:hint="default"/>
      </w:rPr>
    </w:lvl>
    <w:lvl w:ilvl="4" w:tplc="8DB831A2" w:tentative="1">
      <w:start w:val="1"/>
      <w:numFmt w:val="bullet"/>
      <w:lvlText w:val="•"/>
      <w:lvlJc w:val="left"/>
      <w:pPr>
        <w:tabs>
          <w:tab w:val="num" w:pos="3600"/>
        </w:tabs>
        <w:ind w:left="3600" w:hanging="360"/>
      </w:pPr>
      <w:rPr>
        <w:rFonts w:ascii="Arial" w:hAnsi="Arial" w:hint="default"/>
      </w:rPr>
    </w:lvl>
    <w:lvl w:ilvl="5" w:tplc="6120812C" w:tentative="1">
      <w:start w:val="1"/>
      <w:numFmt w:val="bullet"/>
      <w:lvlText w:val="•"/>
      <w:lvlJc w:val="left"/>
      <w:pPr>
        <w:tabs>
          <w:tab w:val="num" w:pos="4320"/>
        </w:tabs>
        <w:ind w:left="4320" w:hanging="360"/>
      </w:pPr>
      <w:rPr>
        <w:rFonts w:ascii="Arial" w:hAnsi="Arial" w:hint="default"/>
      </w:rPr>
    </w:lvl>
    <w:lvl w:ilvl="6" w:tplc="E0166E82" w:tentative="1">
      <w:start w:val="1"/>
      <w:numFmt w:val="bullet"/>
      <w:lvlText w:val="•"/>
      <w:lvlJc w:val="left"/>
      <w:pPr>
        <w:tabs>
          <w:tab w:val="num" w:pos="5040"/>
        </w:tabs>
        <w:ind w:left="5040" w:hanging="360"/>
      </w:pPr>
      <w:rPr>
        <w:rFonts w:ascii="Arial" w:hAnsi="Arial" w:hint="default"/>
      </w:rPr>
    </w:lvl>
    <w:lvl w:ilvl="7" w:tplc="EE6E9748" w:tentative="1">
      <w:start w:val="1"/>
      <w:numFmt w:val="bullet"/>
      <w:lvlText w:val="•"/>
      <w:lvlJc w:val="left"/>
      <w:pPr>
        <w:tabs>
          <w:tab w:val="num" w:pos="5760"/>
        </w:tabs>
        <w:ind w:left="5760" w:hanging="360"/>
      </w:pPr>
      <w:rPr>
        <w:rFonts w:ascii="Arial" w:hAnsi="Arial" w:hint="default"/>
      </w:rPr>
    </w:lvl>
    <w:lvl w:ilvl="8" w:tplc="2DEC0860" w:tentative="1">
      <w:start w:val="1"/>
      <w:numFmt w:val="bullet"/>
      <w:lvlText w:val="•"/>
      <w:lvlJc w:val="left"/>
      <w:pPr>
        <w:tabs>
          <w:tab w:val="num" w:pos="6480"/>
        </w:tabs>
        <w:ind w:left="6480" w:hanging="360"/>
      </w:pPr>
      <w:rPr>
        <w:rFonts w:ascii="Arial" w:hAnsi="Arial" w:hint="default"/>
      </w:rPr>
    </w:lvl>
  </w:abstractNum>
  <w:abstractNum w:abstractNumId="10">
    <w:nsid w:val="51A73E58"/>
    <w:multiLevelType w:val="hybridMultilevel"/>
    <w:tmpl w:val="E0440A2C"/>
    <w:lvl w:ilvl="0" w:tplc="7D1AC2E4">
      <w:start w:val="1"/>
      <w:numFmt w:val="bullet"/>
      <w:lvlText w:val="•"/>
      <w:lvlJc w:val="left"/>
      <w:pPr>
        <w:tabs>
          <w:tab w:val="num" w:pos="360"/>
        </w:tabs>
        <w:ind w:left="360" w:hanging="360"/>
      </w:pPr>
      <w:rPr>
        <w:rFonts w:ascii="Arial" w:hAnsi="Arial" w:hint="default"/>
      </w:rPr>
    </w:lvl>
    <w:lvl w:ilvl="1" w:tplc="23FA82C2">
      <w:start w:val="3509"/>
      <w:numFmt w:val="bullet"/>
      <w:lvlText w:val="–"/>
      <w:lvlJc w:val="left"/>
      <w:pPr>
        <w:tabs>
          <w:tab w:val="num" w:pos="1080"/>
        </w:tabs>
        <w:ind w:left="1080" w:hanging="360"/>
      </w:pPr>
      <w:rPr>
        <w:rFonts w:ascii="Arial" w:hAnsi="Arial" w:hint="default"/>
      </w:rPr>
    </w:lvl>
    <w:lvl w:ilvl="2" w:tplc="C4C6758E">
      <w:start w:val="3509"/>
      <w:numFmt w:val="bullet"/>
      <w:lvlText w:val="•"/>
      <w:lvlJc w:val="left"/>
      <w:pPr>
        <w:tabs>
          <w:tab w:val="num" w:pos="1800"/>
        </w:tabs>
        <w:ind w:left="1800" w:hanging="360"/>
      </w:pPr>
      <w:rPr>
        <w:rFonts w:ascii="Arial" w:hAnsi="Arial" w:hint="default"/>
      </w:rPr>
    </w:lvl>
    <w:lvl w:ilvl="3" w:tplc="4054476A" w:tentative="1">
      <w:start w:val="1"/>
      <w:numFmt w:val="bullet"/>
      <w:lvlText w:val="•"/>
      <w:lvlJc w:val="left"/>
      <w:pPr>
        <w:tabs>
          <w:tab w:val="num" w:pos="2520"/>
        </w:tabs>
        <w:ind w:left="2520" w:hanging="360"/>
      </w:pPr>
      <w:rPr>
        <w:rFonts w:ascii="Arial" w:hAnsi="Arial" w:hint="default"/>
      </w:rPr>
    </w:lvl>
    <w:lvl w:ilvl="4" w:tplc="2E9A102A" w:tentative="1">
      <w:start w:val="1"/>
      <w:numFmt w:val="bullet"/>
      <w:lvlText w:val="•"/>
      <w:lvlJc w:val="left"/>
      <w:pPr>
        <w:tabs>
          <w:tab w:val="num" w:pos="3240"/>
        </w:tabs>
        <w:ind w:left="3240" w:hanging="360"/>
      </w:pPr>
      <w:rPr>
        <w:rFonts w:ascii="Arial" w:hAnsi="Arial" w:hint="default"/>
      </w:rPr>
    </w:lvl>
    <w:lvl w:ilvl="5" w:tplc="84DA036A" w:tentative="1">
      <w:start w:val="1"/>
      <w:numFmt w:val="bullet"/>
      <w:lvlText w:val="•"/>
      <w:lvlJc w:val="left"/>
      <w:pPr>
        <w:tabs>
          <w:tab w:val="num" w:pos="3960"/>
        </w:tabs>
        <w:ind w:left="3960" w:hanging="360"/>
      </w:pPr>
      <w:rPr>
        <w:rFonts w:ascii="Arial" w:hAnsi="Arial" w:hint="default"/>
      </w:rPr>
    </w:lvl>
    <w:lvl w:ilvl="6" w:tplc="590EDE1C" w:tentative="1">
      <w:start w:val="1"/>
      <w:numFmt w:val="bullet"/>
      <w:lvlText w:val="•"/>
      <w:lvlJc w:val="left"/>
      <w:pPr>
        <w:tabs>
          <w:tab w:val="num" w:pos="4680"/>
        </w:tabs>
        <w:ind w:left="4680" w:hanging="360"/>
      </w:pPr>
      <w:rPr>
        <w:rFonts w:ascii="Arial" w:hAnsi="Arial" w:hint="default"/>
      </w:rPr>
    </w:lvl>
    <w:lvl w:ilvl="7" w:tplc="8D36BBDE" w:tentative="1">
      <w:start w:val="1"/>
      <w:numFmt w:val="bullet"/>
      <w:lvlText w:val="•"/>
      <w:lvlJc w:val="left"/>
      <w:pPr>
        <w:tabs>
          <w:tab w:val="num" w:pos="5400"/>
        </w:tabs>
        <w:ind w:left="5400" w:hanging="360"/>
      </w:pPr>
      <w:rPr>
        <w:rFonts w:ascii="Arial" w:hAnsi="Arial" w:hint="default"/>
      </w:rPr>
    </w:lvl>
    <w:lvl w:ilvl="8" w:tplc="E236C44C" w:tentative="1">
      <w:start w:val="1"/>
      <w:numFmt w:val="bullet"/>
      <w:lvlText w:val="•"/>
      <w:lvlJc w:val="left"/>
      <w:pPr>
        <w:tabs>
          <w:tab w:val="num" w:pos="6120"/>
        </w:tabs>
        <w:ind w:left="6120" w:hanging="360"/>
      </w:pPr>
      <w:rPr>
        <w:rFonts w:ascii="Arial" w:hAnsi="Arial" w:hint="default"/>
      </w:rPr>
    </w:lvl>
  </w:abstractNum>
  <w:abstractNum w:abstractNumId="11">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
  </w:num>
  <w:num w:numId="3">
    <w:abstractNumId w:val="11"/>
  </w:num>
  <w:num w:numId="4">
    <w:abstractNumId w:val="12"/>
  </w:num>
  <w:num w:numId="5">
    <w:abstractNumId w:val="13"/>
  </w:num>
  <w:num w:numId="6">
    <w:abstractNumId w:val="3"/>
  </w:num>
  <w:num w:numId="7">
    <w:abstractNumId w:val="7"/>
  </w:num>
  <w:num w:numId="8">
    <w:abstractNumId w:val="8"/>
  </w:num>
  <w:num w:numId="9">
    <w:abstractNumId w:val="0"/>
  </w:num>
  <w:num w:numId="10">
    <w:abstractNumId w:val="9"/>
  </w:num>
  <w:num w:numId="11">
    <w:abstractNumId w:val="1"/>
  </w:num>
  <w:num w:numId="12">
    <w:abstractNumId w:val="10"/>
  </w:num>
  <w:num w:numId="13">
    <w:abstractNumId w:val="6"/>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379"/>
    <w:rsid w:val="00010403"/>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503A"/>
    <w:rsid w:val="000150A0"/>
    <w:rsid w:val="00015664"/>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371"/>
    <w:rsid w:val="00021735"/>
    <w:rsid w:val="00021E78"/>
    <w:rsid w:val="0002202D"/>
    <w:rsid w:val="00022517"/>
    <w:rsid w:val="0002256B"/>
    <w:rsid w:val="00023A1A"/>
    <w:rsid w:val="00023A89"/>
    <w:rsid w:val="00023BE1"/>
    <w:rsid w:val="00023DE1"/>
    <w:rsid w:val="0002413F"/>
    <w:rsid w:val="000249C9"/>
    <w:rsid w:val="00024A77"/>
    <w:rsid w:val="00024CFA"/>
    <w:rsid w:val="00025124"/>
    <w:rsid w:val="00025449"/>
    <w:rsid w:val="0002594D"/>
    <w:rsid w:val="000260C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7CB"/>
    <w:rsid w:val="000341A9"/>
    <w:rsid w:val="00034C3A"/>
    <w:rsid w:val="00034CD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142D"/>
    <w:rsid w:val="000415AB"/>
    <w:rsid w:val="00041B42"/>
    <w:rsid w:val="00041D45"/>
    <w:rsid w:val="00041D50"/>
    <w:rsid w:val="00042457"/>
    <w:rsid w:val="0004289F"/>
    <w:rsid w:val="00042A1D"/>
    <w:rsid w:val="000432B1"/>
    <w:rsid w:val="0004330F"/>
    <w:rsid w:val="000438EE"/>
    <w:rsid w:val="000439C8"/>
    <w:rsid w:val="00043DD1"/>
    <w:rsid w:val="00044937"/>
    <w:rsid w:val="000450D9"/>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4DF"/>
    <w:rsid w:val="00052B49"/>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A7D"/>
    <w:rsid w:val="00061FC4"/>
    <w:rsid w:val="0006244B"/>
    <w:rsid w:val="000625D7"/>
    <w:rsid w:val="00062846"/>
    <w:rsid w:val="00062A44"/>
    <w:rsid w:val="00062AA4"/>
    <w:rsid w:val="000639D7"/>
    <w:rsid w:val="00063AB9"/>
    <w:rsid w:val="0006417E"/>
    <w:rsid w:val="000641B2"/>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BAC"/>
    <w:rsid w:val="00071D4E"/>
    <w:rsid w:val="000726D2"/>
    <w:rsid w:val="000728BD"/>
    <w:rsid w:val="000729B0"/>
    <w:rsid w:val="00072BF0"/>
    <w:rsid w:val="00072C30"/>
    <w:rsid w:val="00072C46"/>
    <w:rsid w:val="000730BC"/>
    <w:rsid w:val="0007318D"/>
    <w:rsid w:val="00073291"/>
    <w:rsid w:val="00073964"/>
    <w:rsid w:val="00073AA2"/>
    <w:rsid w:val="00073E69"/>
    <w:rsid w:val="00073F47"/>
    <w:rsid w:val="00074005"/>
    <w:rsid w:val="0007407D"/>
    <w:rsid w:val="00074283"/>
    <w:rsid w:val="00074590"/>
    <w:rsid w:val="000753D5"/>
    <w:rsid w:val="00075460"/>
    <w:rsid w:val="0007555A"/>
    <w:rsid w:val="000755F5"/>
    <w:rsid w:val="000756C8"/>
    <w:rsid w:val="000757E6"/>
    <w:rsid w:val="00075977"/>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EC"/>
    <w:rsid w:val="0008213B"/>
    <w:rsid w:val="00082434"/>
    <w:rsid w:val="000829B2"/>
    <w:rsid w:val="00082D5F"/>
    <w:rsid w:val="000830B9"/>
    <w:rsid w:val="000835D1"/>
    <w:rsid w:val="0008388C"/>
    <w:rsid w:val="00083A67"/>
    <w:rsid w:val="00083D34"/>
    <w:rsid w:val="00083EA4"/>
    <w:rsid w:val="000842A2"/>
    <w:rsid w:val="000843F7"/>
    <w:rsid w:val="00084862"/>
    <w:rsid w:val="00084BD1"/>
    <w:rsid w:val="00084E63"/>
    <w:rsid w:val="00084E9E"/>
    <w:rsid w:val="000854CB"/>
    <w:rsid w:val="0008570D"/>
    <w:rsid w:val="00085EF4"/>
    <w:rsid w:val="00086022"/>
    <w:rsid w:val="00086269"/>
    <w:rsid w:val="0008658D"/>
    <w:rsid w:val="0008666B"/>
    <w:rsid w:val="00086849"/>
    <w:rsid w:val="0008716B"/>
    <w:rsid w:val="000879CF"/>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69B"/>
    <w:rsid w:val="00092F5A"/>
    <w:rsid w:val="000932BC"/>
    <w:rsid w:val="00093ACC"/>
    <w:rsid w:val="00093CAD"/>
    <w:rsid w:val="000948AC"/>
    <w:rsid w:val="00094F30"/>
    <w:rsid w:val="000951D6"/>
    <w:rsid w:val="0009582C"/>
    <w:rsid w:val="00095BE6"/>
    <w:rsid w:val="00095F9F"/>
    <w:rsid w:val="00096275"/>
    <w:rsid w:val="000962C4"/>
    <w:rsid w:val="00096523"/>
    <w:rsid w:val="00096650"/>
    <w:rsid w:val="00096AD9"/>
    <w:rsid w:val="000978E4"/>
    <w:rsid w:val="00097CC7"/>
    <w:rsid w:val="00097E7E"/>
    <w:rsid w:val="000A0045"/>
    <w:rsid w:val="000A0ACB"/>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556C"/>
    <w:rsid w:val="000A565E"/>
    <w:rsid w:val="000A58BF"/>
    <w:rsid w:val="000A5933"/>
    <w:rsid w:val="000A5A66"/>
    <w:rsid w:val="000A5DC7"/>
    <w:rsid w:val="000A6106"/>
    <w:rsid w:val="000A62EA"/>
    <w:rsid w:val="000A63E7"/>
    <w:rsid w:val="000A715C"/>
    <w:rsid w:val="000A7377"/>
    <w:rsid w:val="000A7885"/>
    <w:rsid w:val="000A7ABF"/>
    <w:rsid w:val="000B0242"/>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DC"/>
    <w:rsid w:val="000C0751"/>
    <w:rsid w:val="000C0BCF"/>
    <w:rsid w:val="000C0DCB"/>
    <w:rsid w:val="000C0F30"/>
    <w:rsid w:val="000C1030"/>
    <w:rsid w:val="000C194B"/>
    <w:rsid w:val="000C1E30"/>
    <w:rsid w:val="000C20E1"/>
    <w:rsid w:val="000C279E"/>
    <w:rsid w:val="000C2BA0"/>
    <w:rsid w:val="000C2E60"/>
    <w:rsid w:val="000C315E"/>
    <w:rsid w:val="000C33FB"/>
    <w:rsid w:val="000C37FB"/>
    <w:rsid w:val="000C5285"/>
    <w:rsid w:val="000C5D1A"/>
    <w:rsid w:val="000C606B"/>
    <w:rsid w:val="000C62F8"/>
    <w:rsid w:val="000C6478"/>
    <w:rsid w:val="000C6914"/>
    <w:rsid w:val="000C69D8"/>
    <w:rsid w:val="000C6A15"/>
    <w:rsid w:val="000C6C89"/>
    <w:rsid w:val="000C6D9E"/>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D52"/>
    <w:rsid w:val="000D31CC"/>
    <w:rsid w:val="000D3A5E"/>
    <w:rsid w:val="000D3AA4"/>
    <w:rsid w:val="000D3B72"/>
    <w:rsid w:val="000D3D06"/>
    <w:rsid w:val="000D40DC"/>
    <w:rsid w:val="000D414C"/>
    <w:rsid w:val="000D4423"/>
    <w:rsid w:val="000D46BA"/>
    <w:rsid w:val="000D47EF"/>
    <w:rsid w:val="000D4832"/>
    <w:rsid w:val="000D4A67"/>
    <w:rsid w:val="000D4CC0"/>
    <w:rsid w:val="000D4F16"/>
    <w:rsid w:val="000D5350"/>
    <w:rsid w:val="000D59BA"/>
    <w:rsid w:val="000D6600"/>
    <w:rsid w:val="000D6745"/>
    <w:rsid w:val="000D6F04"/>
    <w:rsid w:val="000D6F43"/>
    <w:rsid w:val="000D6FA4"/>
    <w:rsid w:val="000D748D"/>
    <w:rsid w:val="000D7577"/>
    <w:rsid w:val="000D7C46"/>
    <w:rsid w:val="000E004D"/>
    <w:rsid w:val="000E01ED"/>
    <w:rsid w:val="000E02FD"/>
    <w:rsid w:val="000E0546"/>
    <w:rsid w:val="000E0796"/>
    <w:rsid w:val="000E09D6"/>
    <w:rsid w:val="000E0C98"/>
    <w:rsid w:val="000E0E85"/>
    <w:rsid w:val="000E0F98"/>
    <w:rsid w:val="000E11D2"/>
    <w:rsid w:val="000E15AD"/>
    <w:rsid w:val="000E1BA8"/>
    <w:rsid w:val="000E25D0"/>
    <w:rsid w:val="000E27DB"/>
    <w:rsid w:val="000E2915"/>
    <w:rsid w:val="000E2F7C"/>
    <w:rsid w:val="000E311E"/>
    <w:rsid w:val="000E328F"/>
    <w:rsid w:val="000E3358"/>
    <w:rsid w:val="000E3990"/>
    <w:rsid w:val="000E3C9D"/>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E1D"/>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868"/>
    <w:rsid w:val="00103AE1"/>
    <w:rsid w:val="00104326"/>
    <w:rsid w:val="00104328"/>
    <w:rsid w:val="00104594"/>
    <w:rsid w:val="00105BD5"/>
    <w:rsid w:val="00106326"/>
    <w:rsid w:val="00106891"/>
    <w:rsid w:val="001068D9"/>
    <w:rsid w:val="00106BB5"/>
    <w:rsid w:val="00106DA6"/>
    <w:rsid w:val="00107188"/>
    <w:rsid w:val="00107235"/>
    <w:rsid w:val="0010723C"/>
    <w:rsid w:val="001073B9"/>
    <w:rsid w:val="001076C1"/>
    <w:rsid w:val="00110020"/>
    <w:rsid w:val="00110092"/>
    <w:rsid w:val="001104BB"/>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08"/>
    <w:rsid w:val="001172B6"/>
    <w:rsid w:val="00117837"/>
    <w:rsid w:val="00117D3A"/>
    <w:rsid w:val="00117F4D"/>
    <w:rsid w:val="001201B0"/>
    <w:rsid w:val="00120757"/>
    <w:rsid w:val="00120867"/>
    <w:rsid w:val="001208F1"/>
    <w:rsid w:val="00121120"/>
    <w:rsid w:val="0012147B"/>
    <w:rsid w:val="00121A07"/>
    <w:rsid w:val="00121EF0"/>
    <w:rsid w:val="001228AB"/>
    <w:rsid w:val="001228F6"/>
    <w:rsid w:val="00122918"/>
    <w:rsid w:val="00122A2E"/>
    <w:rsid w:val="00122B7B"/>
    <w:rsid w:val="00122FFD"/>
    <w:rsid w:val="001230AF"/>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45E"/>
    <w:rsid w:val="00126503"/>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32B"/>
    <w:rsid w:val="0013358C"/>
    <w:rsid w:val="0013367D"/>
    <w:rsid w:val="00133B7D"/>
    <w:rsid w:val="00133E6E"/>
    <w:rsid w:val="00133F41"/>
    <w:rsid w:val="001343E6"/>
    <w:rsid w:val="00134471"/>
    <w:rsid w:val="00134B43"/>
    <w:rsid w:val="00134DD5"/>
    <w:rsid w:val="001354DE"/>
    <w:rsid w:val="00135E2E"/>
    <w:rsid w:val="00136756"/>
    <w:rsid w:val="00136BCA"/>
    <w:rsid w:val="001377BE"/>
    <w:rsid w:val="001379E0"/>
    <w:rsid w:val="00137D00"/>
    <w:rsid w:val="0014004A"/>
    <w:rsid w:val="001401AD"/>
    <w:rsid w:val="001402D9"/>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7438"/>
    <w:rsid w:val="0014775B"/>
    <w:rsid w:val="001477F1"/>
    <w:rsid w:val="001479B8"/>
    <w:rsid w:val="00147D5F"/>
    <w:rsid w:val="00147E9D"/>
    <w:rsid w:val="00147F0C"/>
    <w:rsid w:val="00150677"/>
    <w:rsid w:val="001512FC"/>
    <w:rsid w:val="00151E7E"/>
    <w:rsid w:val="001520B8"/>
    <w:rsid w:val="00152427"/>
    <w:rsid w:val="0015281E"/>
    <w:rsid w:val="00152E59"/>
    <w:rsid w:val="001532F6"/>
    <w:rsid w:val="00153852"/>
    <w:rsid w:val="00153955"/>
    <w:rsid w:val="00153E84"/>
    <w:rsid w:val="0015407C"/>
    <w:rsid w:val="00154B2F"/>
    <w:rsid w:val="0015509A"/>
    <w:rsid w:val="0015524F"/>
    <w:rsid w:val="0015541E"/>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CBE"/>
    <w:rsid w:val="00163F1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CC6"/>
    <w:rsid w:val="00166EB8"/>
    <w:rsid w:val="00167636"/>
    <w:rsid w:val="00167B3F"/>
    <w:rsid w:val="00167BFA"/>
    <w:rsid w:val="00170050"/>
    <w:rsid w:val="0017041E"/>
    <w:rsid w:val="00170A8E"/>
    <w:rsid w:val="00170CBB"/>
    <w:rsid w:val="00171E0B"/>
    <w:rsid w:val="00171FCB"/>
    <w:rsid w:val="00171FE4"/>
    <w:rsid w:val="00172166"/>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01F"/>
    <w:rsid w:val="00176136"/>
    <w:rsid w:val="001761F7"/>
    <w:rsid w:val="00177520"/>
    <w:rsid w:val="00177DE5"/>
    <w:rsid w:val="001800E0"/>
    <w:rsid w:val="001801E9"/>
    <w:rsid w:val="0018076D"/>
    <w:rsid w:val="00180A1B"/>
    <w:rsid w:val="00180D28"/>
    <w:rsid w:val="00181498"/>
    <w:rsid w:val="00181683"/>
    <w:rsid w:val="001820D7"/>
    <w:rsid w:val="00182180"/>
    <w:rsid w:val="001824E7"/>
    <w:rsid w:val="00182543"/>
    <w:rsid w:val="0018262C"/>
    <w:rsid w:val="00182713"/>
    <w:rsid w:val="00182854"/>
    <w:rsid w:val="00182B35"/>
    <w:rsid w:val="00183377"/>
    <w:rsid w:val="001834C2"/>
    <w:rsid w:val="00183532"/>
    <w:rsid w:val="00183DF9"/>
    <w:rsid w:val="0018454B"/>
    <w:rsid w:val="0018457F"/>
    <w:rsid w:val="00184D1D"/>
    <w:rsid w:val="00184E53"/>
    <w:rsid w:val="00185620"/>
    <w:rsid w:val="001857BA"/>
    <w:rsid w:val="0018591D"/>
    <w:rsid w:val="00186272"/>
    <w:rsid w:val="001864D4"/>
    <w:rsid w:val="00186B97"/>
    <w:rsid w:val="001872B0"/>
    <w:rsid w:val="00187478"/>
    <w:rsid w:val="001877FA"/>
    <w:rsid w:val="00187880"/>
    <w:rsid w:val="0019025E"/>
    <w:rsid w:val="0019084D"/>
    <w:rsid w:val="00190B49"/>
    <w:rsid w:val="0019132E"/>
    <w:rsid w:val="0019142F"/>
    <w:rsid w:val="001914E2"/>
    <w:rsid w:val="001915BF"/>
    <w:rsid w:val="00192322"/>
    <w:rsid w:val="00192495"/>
    <w:rsid w:val="001926E0"/>
    <w:rsid w:val="00192A6A"/>
    <w:rsid w:val="00192DF9"/>
    <w:rsid w:val="00192EEF"/>
    <w:rsid w:val="00192FC6"/>
    <w:rsid w:val="001933C2"/>
    <w:rsid w:val="00193423"/>
    <w:rsid w:val="0019370E"/>
    <w:rsid w:val="00193890"/>
    <w:rsid w:val="00193E5D"/>
    <w:rsid w:val="00193FDC"/>
    <w:rsid w:val="00194054"/>
    <w:rsid w:val="00194295"/>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B3B"/>
    <w:rsid w:val="001A1367"/>
    <w:rsid w:val="001A15C8"/>
    <w:rsid w:val="001A1730"/>
    <w:rsid w:val="001A18A6"/>
    <w:rsid w:val="001A1B82"/>
    <w:rsid w:val="001A20C9"/>
    <w:rsid w:val="001A20F0"/>
    <w:rsid w:val="001A2D51"/>
    <w:rsid w:val="001A2D9F"/>
    <w:rsid w:val="001A2EB1"/>
    <w:rsid w:val="001A2EE5"/>
    <w:rsid w:val="001A317F"/>
    <w:rsid w:val="001A32A2"/>
    <w:rsid w:val="001A36A5"/>
    <w:rsid w:val="001A36FD"/>
    <w:rsid w:val="001A37B4"/>
    <w:rsid w:val="001A3C1D"/>
    <w:rsid w:val="001A3DD1"/>
    <w:rsid w:val="001A41F2"/>
    <w:rsid w:val="001A43A0"/>
    <w:rsid w:val="001A45F5"/>
    <w:rsid w:val="001A4788"/>
    <w:rsid w:val="001A5050"/>
    <w:rsid w:val="001A51A4"/>
    <w:rsid w:val="001A51D3"/>
    <w:rsid w:val="001A5BB4"/>
    <w:rsid w:val="001A6BFE"/>
    <w:rsid w:val="001A7009"/>
    <w:rsid w:val="001A7537"/>
    <w:rsid w:val="001B03FE"/>
    <w:rsid w:val="001B05FC"/>
    <w:rsid w:val="001B1313"/>
    <w:rsid w:val="001B14DE"/>
    <w:rsid w:val="001B162C"/>
    <w:rsid w:val="001B179B"/>
    <w:rsid w:val="001B1BE8"/>
    <w:rsid w:val="001B1DC7"/>
    <w:rsid w:val="001B2005"/>
    <w:rsid w:val="001B2DA0"/>
    <w:rsid w:val="001B2FB7"/>
    <w:rsid w:val="001B30B1"/>
    <w:rsid w:val="001B3378"/>
    <w:rsid w:val="001B38E1"/>
    <w:rsid w:val="001B3CDA"/>
    <w:rsid w:val="001B3D9F"/>
    <w:rsid w:val="001B4B99"/>
    <w:rsid w:val="001B4EB4"/>
    <w:rsid w:val="001B5219"/>
    <w:rsid w:val="001B53AC"/>
    <w:rsid w:val="001B5EBF"/>
    <w:rsid w:val="001B60E1"/>
    <w:rsid w:val="001B63E8"/>
    <w:rsid w:val="001B6D08"/>
    <w:rsid w:val="001B7025"/>
    <w:rsid w:val="001B7111"/>
    <w:rsid w:val="001B74C3"/>
    <w:rsid w:val="001C0173"/>
    <w:rsid w:val="001C0B46"/>
    <w:rsid w:val="001C0BF4"/>
    <w:rsid w:val="001C0EE1"/>
    <w:rsid w:val="001C1295"/>
    <w:rsid w:val="001C1789"/>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1B4"/>
    <w:rsid w:val="001C48AC"/>
    <w:rsid w:val="001C4F65"/>
    <w:rsid w:val="001C515A"/>
    <w:rsid w:val="001C55B2"/>
    <w:rsid w:val="001C5796"/>
    <w:rsid w:val="001C5A11"/>
    <w:rsid w:val="001C5DEF"/>
    <w:rsid w:val="001C6056"/>
    <w:rsid w:val="001C63EF"/>
    <w:rsid w:val="001C67A5"/>
    <w:rsid w:val="001C68F1"/>
    <w:rsid w:val="001C6E8F"/>
    <w:rsid w:val="001C6EDF"/>
    <w:rsid w:val="001C7142"/>
    <w:rsid w:val="001C71CB"/>
    <w:rsid w:val="001C770D"/>
    <w:rsid w:val="001D03B1"/>
    <w:rsid w:val="001D0612"/>
    <w:rsid w:val="001D0E8E"/>
    <w:rsid w:val="001D1487"/>
    <w:rsid w:val="001D16C9"/>
    <w:rsid w:val="001D197C"/>
    <w:rsid w:val="001D1DD9"/>
    <w:rsid w:val="001D28D5"/>
    <w:rsid w:val="001D29CE"/>
    <w:rsid w:val="001D2B66"/>
    <w:rsid w:val="001D3007"/>
    <w:rsid w:val="001D3734"/>
    <w:rsid w:val="001D3F9A"/>
    <w:rsid w:val="001D4439"/>
    <w:rsid w:val="001D4C63"/>
    <w:rsid w:val="001D5001"/>
    <w:rsid w:val="001D51C4"/>
    <w:rsid w:val="001D6524"/>
    <w:rsid w:val="001D65A5"/>
    <w:rsid w:val="001D66B6"/>
    <w:rsid w:val="001D6838"/>
    <w:rsid w:val="001D738C"/>
    <w:rsid w:val="001D7D89"/>
    <w:rsid w:val="001E032A"/>
    <w:rsid w:val="001E0337"/>
    <w:rsid w:val="001E0375"/>
    <w:rsid w:val="001E0401"/>
    <w:rsid w:val="001E048C"/>
    <w:rsid w:val="001E04D2"/>
    <w:rsid w:val="001E0764"/>
    <w:rsid w:val="001E079E"/>
    <w:rsid w:val="001E07CD"/>
    <w:rsid w:val="001E0D49"/>
    <w:rsid w:val="001E0FBD"/>
    <w:rsid w:val="001E1E17"/>
    <w:rsid w:val="001E2398"/>
    <w:rsid w:val="001E28B3"/>
    <w:rsid w:val="001E3042"/>
    <w:rsid w:val="001E3229"/>
    <w:rsid w:val="001E32AD"/>
    <w:rsid w:val="001E33D8"/>
    <w:rsid w:val="001E3563"/>
    <w:rsid w:val="001E37E1"/>
    <w:rsid w:val="001E40D8"/>
    <w:rsid w:val="001E4274"/>
    <w:rsid w:val="001E45F9"/>
    <w:rsid w:val="001E4A74"/>
    <w:rsid w:val="001E4E3F"/>
    <w:rsid w:val="001E51E5"/>
    <w:rsid w:val="001E5336"/>
    <w:rsid w:val="001E54F0"/>
    <w:rsid w:val="001E57ED"/>
    <w:rsid w:val="001E5963"/>
    <w:rsid w:val="001E5CF1"/>
    <w:rsid w:val="001E60F7"/>
    <w:rsid w:val="001E62B1"/>
    <w:rsid w:val="001E6385"/>
    <w:rsid w:val="001E6428"/>
    <w:rsid w:val="001E656F"/>
    <w:rsid w:val="001E65ED"/>
    <w:rsid w:val="001E663B"/>
    <w:rsid w:val="001E684F"/>
    <w:rsid w:val="001E76C7"/>
    <w:rsid w:val="001E7707"/>
    <w:rsid w:val="001E7A3D"/>
    <w:rsid w:val="001E7DB9"/>
    <w:rsid w:val="001F06AC"/>
    <w:rsid w:val="001F08C8"/>
    <w:rsid w:val="001F0B78"/>
    <w:rsid w:val="001F1501"/>
    <w:rsid w:val="001F19AA"/>
    <w:rsid w:val="001F1AB3"/>
    <w:rsid w:val="001F22BD"/>
    <w:rsid w:val="001F2326"/>
    <w:rsid w:val="001F246E"/>
    <w:rsid w:val="001F2CB0"/>
    <w:rsid w:val="001F3CCA"/>
    <w:rsid w:val="001F3E2D"/>
    <w:rsid w:val="001F3E90"/>
    <w:rsid w:val="001F4278"/>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EB7"/>
    <w:rsid w:val="00203F51"/>
    <w:rsid w:val="002043C3"/>
    <w:rsid w:val="00206239"/>
    <w:rsid w:val="00206529"/>
    <w:rsid w:val="002065C8"/>
    <w:rsid w:val="00206BEF"/>
    <w:rsid w:val="00206D33"/>
    <w:rsid w:val="00207047"/>
    <w:rsid w:val="00207285"/>
    <w:rsid w:val="002079F7"/>
    <w:rsid w:val="002100F5"/>
    <w:rsid w:val="00210E3A"/>
    <w:rsid w:val="00212478"/>
    <w:rsid w:val="002124CB"/>
    <w:rsid w:val="00212654"/>
    <w:rsid w:val="00212822"/>
    <w:rsid w:val="00212C08"/>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5"/>
    <w:rsid w:val="00216C93"/>
    <w:rsid w:val="00216F55"/>
    <w:rsid w:val="00217897"/>
    <w:rsid w:val="00217E25"/>
    <w:rsid w:val="00220845"/>
    <w:rsid w:val="0022097D"/>
    <w:rsid w:val="00220E67"/>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9DA"/>
    <w:rsid w:val="00227F82"/>
    <w:rsid w:val="00230720"/>
    <w:rsid w:val="00230850"/>
    <w:rsid w:val="00230B13"/>
    <w:rsid w:val="00230F24"/>
    <w:rsid w:val="00230FBF"/>
    <w:rsid w:val="00231518"/>
    <w:rsid w:val="0023174C"/>
    <w:rsid w:val="00231D8B"/>
    <w:rsid w:val="00231E8A"/>
    <w:rsid w:val="00231ECB"/>
    <w:rsid w:val="002324F5"/>
    <w:rsid w:val="00232AD6"/>
    <w:rsid w:val="00232F39"/>
    <w:rsid w:val="00233028"/>
    <w:rsid w:val="00233057"/>
    <w:rsid w:val="00233946"/>
    <w:rsid w:val="00233C47"/>
    <w:rsid w:val="00233EAF"/>
    <w:rsid w:val="00233FF5"/>
    <w:rsid w:val="00234693"/>
    <w:rsid w:val="002346AA"/>
    <w:rsid w:val="0023477F"/>
    <w:rsid w:val="00234820"/>
    <w:rsid w:val="00234AA5"/>
    <w:rsid w:val="00234D3F"/>
    <w:rsid w:val="002350E1"/>
    <w:rsid w:val="00235DD6"/>
    <w:rsid w:val="00236434"/>
    <w:rsid w:val="002364F0"/>
    <w:rsid w:val="00236541"/>
    <w:rsid w:val="002367BD"/>
    <w:rsid w:val="00236DB4"/>
    <w:rsid w:val="00236DB9"/>
    <w:rsid w:val="00236FC3"/>
    <w:rsid w:val="00237121"/>
    <w:rsid w:val="00237B0A"/>
    <w:rsid w:val="00237D68"/>
    <w:rsid w:val="002404AE"/>
    <w:rsid w:val="00240AB4"/>
    <w:rsid w:val="0024106C"/>
    <w:rsid w:val="002412B9"/>
    <w:rsid w:val="00241F26"/>
    <w:rsid w:val="0024215B"/>
    <w:rsid w:val="00242291"/>
    <w:rsid w:val="002424D6"/>
    <w:rsid w:val="00242BA9"/>
    <w:rsid w:val="00242D17"/>
    <w:rsid w:val="0024301B"/>
    <w:rsid w:val="0024331B"/>
    <w:rsid w:val="00243699"/>
    <w:rsid w:val="002438E4"/>
    <w:rsid w:val="00243A57"/>
    <w:rsid w:val="00243B61"/>
    <w:rsid w:val="00243CDC"/>
    <w:rsid w:val="00243CE1"/>
    <w:rsid w:val="00244AD8"/>
    <w:rsid w:val="00245E3C"/>
    <w:rsid w:val="00246013"/>
    <w:rsid w:val="00246241"/>
    <w:rsid w:val="00246396"/>
    <w:rsid w:val="0024713C"/>
    <w:rsid w:val="00247529"/>
    <w:rsid w:val="0024775E"/>
    <w:rsid w:val="00247A37"/>
    <w:rsid w:val="00247A9A"/>
    <w:rsid w:val="00247CCD"/>
    <w:rsid w:val="002501C1"/>
    <w:rsid w:val="00250321"/>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CEE"/>
    <w:rsid w:val="00257437"/>
    <w:rsid w:val="0025755D"/>
    <w:rsid w:val="0026063F"/>
    <w:rsid w:val="0026108D"/>
    <w:rsid w:val="00261288"/>
    <w:rsid w:val="00261468"/>
    <w:rsid w:val="00261E35"/>
    <w:rsid w:val="002625C8"/>
    <w:rsid w:val="0026286E"/>
    <w:rsid w:val="0026297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4BA"/>
    <w:rsid w:val="002715D3"/>
    <w:rsid w:val="0027180F"/>
    <w:rsid w:val="00272715"/>
    <w:rsid w:val="002727B2"/>
    <w:rsid w:val="00272897"/>
    <w:rsid w:val="00272C28"/>
    <w:rsid w:val="00272F5E"/>
    <w:rsid w:val="0027339B"/>
    <w:rsid w:val="00273674"/>
    <w:rsid w:val="002738A6"/>
    <w:rsid w:val="00273F15"/>
    <w:rsid w:val="002740A0"/>
    <w:rsid w:val="0027456B"/>
    <w:rsid w:val="002745C9"/>
    <w:rsid w:val="002748A3"/>
    <w:rsid w:val="002749B5"/>
    <w:rsid w:val="0027591B"/>
    <w:rsid w:val="00275A2A"/>
    <w:rsid w:val="00275C74"/>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D17"/>
    <w:rsid w:val="00287E65"/>
    <w:rsid w:val="00287EA5"/>
    <w:rsid w:val="002903A7"/>
    <w:rsid w:val="00290711"/>
    <w:rsid w:val="00290A36"/>
    <w:rsid w:val="00290B54"/>
    <w:rsid w:val="002914C3"/>
    <w:rsid w:val="00291B89"/>
    <w:rsid w:val="00291BE2"/>
    <w:rsid w:val="002921DC"/>
    <w:rsid w:val="002921F7"/>
    <w:rsid w:val="00292361"/>
    <w:rsid w:val="0029246D"/>
    <w:rsid w:val="002925EB"/>
    <w:rsid w:val="00292ABB"/>
    <w:rsid w:val="00292BC2"/>
    <w:rsid w:val="00293090"/>
    <w:rsid w:val="002935B6"/>
    <w:rsid w:val="00293693"/>
    <w:rsid w:val="002941E4"/>
    <w:rsid w:val="00294265"/>
    <w:rsid w:val="002943F5"/>
    <w:rsid w:val="0029467A"/>
    <w:rsid w:val="002946AF"/>
    <w:rsid w:val="002947AD"/>
    <w:rsid w:val="00294983"/>
    <w:rsid w:val="002956AF"/>
    <w:rsid w:val="00295800"/>
    <w:rsid w:val="0029596A"/>
    <w:rsid w:val="00295D7F"/>
    <w:rsid w:val="00296018"/>
    <w:rsid w:val="00296075"/>
    <w:rsid w:val="00296138"/>
    <w:rsid w:val="00296C5E"/>
    <w:rsid w:val="0029741B"/>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575"/>
    <w:rsid w:val="002B2A48"/>
    <w:rsid w:val="002B2E4D"/>
    <w:rsid w:val="002B3308"/>
    <w:rsid w:val="002B342E"/>
    <w:rsid w:val="002B3665"/>
    <w:rsid w:val="002B3C5C"/>
    <w:rsid w:val="002B3E96"/>
    <w:rsid w:val="002B4279"/>
    <w:rsid w:val="002B4B3B"/>
    <w:rsid w:val="002B4E3D"/>
    <w:rsid w:val="002B50BE"/>
    <w:rsid w:val="002B5558"/>
    <w:rsid w:val="002B5603"/>
    <w:rsid w:val="002B57D9"/>
    <w:rsid w:val="002B5BB2"/>
    <w:rsid w:val="002B5D3C"/>
    <w:rsid w:val="002B5D5E"/>
    <w:rsid w:val="002B5DBF"/>
    <w:rsid w:val="002B6038"/>
    <w:rsid w:val="002B66B0"/>
    <w:rsid w:val="002B6C8D"/>
    <w:rsid w:val="002B754A"/>
    <w:rsid w:val="002B788B"/>
    <w:rsid w:val="002B7C1D"/>
    <w:rsid w:val="002C0053"/>
    <w:rsid w:val="002C01EB"/>
    <w:rsid w:val="002C0431"/>
    <w:rsid w:val="002C0F2C"/>
    <w:rsid w:val="002C14A7"/>
    <w:rsid w:val="002C1B6A"/>
    <w:rsid w:val="002C261F"/>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BF6"/>
    <w:rsid w:val="002C6F09"/>
    <w:rsid w:val="002C7644"/>
    <w:rsid w:val="002D026C"/>
    <w:rsid w:val="002D0503"/>
    <w:rsid w:val="002D06ED"/>
    <w:rsid w:val="002D06EF"/>
    <w:rsid w:val="002D071C"/>
    <w:rsid w:val="002D09F5"/>
    <w:rsid w:val="002D13D8"/>
    <w:rsid w:val="002D146E"/>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F8"/>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F8B"/>
    <w:rsid w:val="002E4D45"/>
    <w:rsid w:val="002E5A56"/>
    <w:rsid w:val="002E5B24"/>
    <w:rsid w:val="002E60C7"/>
    <w:rsid w:val="002E658A"/>
    <w:rsid w:val="002E6A01"/>
    <w:rsid w:val="002E716C"/>
    <w:rsid w:val="002E74BA"/>
    <w:rsid w:val="002E79DA"/>
    <w:rsid w:val="002E7DAB"/>
    <w:rsid w:val="002F0093"/>
    <w:rsid w:val="002F00B8"/>
    <w:rsid w:val="002F0732"/>
    <w:rsid w:val="002F0767"/>
    <w:rsid w:val="002F0D70"/>
    <w:rsid w:val="002F0FEC"/>
    <w:rsid w:val="002F16A6"/>
    <w:rsid w:val="002F1814"/>
    <w:rsid w:val="002F1881"/>
    <w:rsid w:val="002F1BE1"/>
    <w:rsid w:val="002F1F74"/>
    <w:rsid w:val="002F228C"/>
    <w:rsid w:val="002F278F"/>
    <w:rsid w:val="002F29D6"/>
    <w:rsid w:val="002F2F30"/>
    <w:rsid w:val="002F3263"/>
    <w:rsid w:val="002F3959"/>
    <w:rsid w:val="002F396A"/>
    <w:rsid w:val="002F3972"/>
    <w:rsid w:val="002F3996"/>
    <w:rsid w:val="002F3DEE"/>
    <w:rsid w:val="002F3FF7"/>
    <w:rsid w:val="002F473E"/>
    <w:rsid w:val="002F4A4B"/>
    <w:rsid w:val="002F5135"/>
    <w:rsid w:val="002F5362"/>
    <w:rsid w:val="002F5AAF"/>
    <w:rsid w:val="002F5AC8"/>
    <w:rsid w:val="002F5E55"/>
    <w:rsid w:val="002F601F"/>
    <w:rsid w:val="002F6240"/>
    <w:rsid w:val="002F62DE"/>
    <w:rsid w:val="002F6682"/>
    <w:rsid w:val="002F6B54"/>
    <w:rsid w:val="002F6BC5"/>
    <w:rsid w:val="002F7616"/>
    <w:rsid w:val="002F770B"/>
    <w:rsid w:val="002F7C38"/>
    <w:rsid w:val="003002FF"/>
    <w:rsid w:val="0030045E"/>
    <w:rsid w:val="003012B7"/>
    <w:rsid w:val="00301385"/>
    <w:rsid w:val="00301561"/>
    <w:rsid w:val="00301C5E"/>
    <w:rsid w:val="00301D9A"/>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5BF"/>
    <w:rsid w:val="003077DC"/>
    <w:rsid w:val="0030792E"/>
    <w:rsid w:val="003106DD"/>
    <w:rsid w:val="003108B4"/>
    <w:rsid w:val="00310AA6"/>
    <w:rsid w:val="00310B05"/>
    <w:rsid w:val="00310BF4"/>
    <w:rsid w:val="00311383"/>
    <w:rsid w:val="0031195F"/>
    <w:rsid w:val="003119F8"/>
    <w:rsid w:val="00311A00"/>
    <w:rsid w:val="0031217F"/>
    <w:rsid w:val="0031228D"/>
    <w:rsid w:val="003122A0"/>
    <w:rsid w:val="0031254D"/>
    <w:rsid w:val="00312819"/>
    <w:rsid w:val="003129E1"/>
    <w:rsid w:val="00312C5C"/>
    <w:rsid w:val="003132BA"/>
    <w:rsid w:val="003139F2"/>
    <w:rsid w:val="00313DE4"/>
    <w:rsid w:val="00313FF2"/>
    <w:rsid w:val="003141B1"/>
    <w:rsid w:val="00314B9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4072"/>
    <w:rsid w:val="00324075"/>
    <w:rsid w:val="0032439B"/>
    <w:rsid w:val="00324699"/>
    <w:rsid w:val="003249B6"/>
    <w:rsid w:val="00324D6D"/>
    <w:rsid w:val="0032524A"/>
    <w:rsid w:val="00325831"/>
    <w:rsid w:val="00325DC4"/>
    <w:rsid w:val="00325E35"/>
    <w:rsid w:val="003261C6"/>
    <w:rsid w:val="0032624A"/>
    <w:rsid w:val="0032637A"/>
    <w:rsid w:val="00326B78"/>
    <w:rsid w:val="00326DE4"/>
    <w:rsid w:val="00327D5A"/>
    <w:rsid w:val="00327E0F"/>
    <w:rsid w:val="003301C0"/>
    <w:rsid w:val="00331520"/>
    <w:rsid w:val="00331672"/>
    <w:rsid w:val="00331D48"/>
    <w:rsid w:val="00331E76"/>
    <w:rsid w:val="00332088"/>
    <w:rsid w:val="003320A7"/>
    <w:rsid w:val="003325B6"/>
    <w:rsid w:val="00332AE0"/>
    <w:rsid w:val="00332C38"/>
    <w:rsid w:val="00332EB0"/>
    <w:rsid w:val="0033313A"/>
    <w:rsid w:val="003333E7"/>
    <w:rsid w:val="00333EBF"/>
    <w:rsid w:val="003344BB"/>
    <w:rsid w:val="00334E79"/>
    <w:rsid w:val="00334F7C"/>
    <w:rsid w:val="003353F5"/>
    <w:rsid w:val="00335772"/>
    <w:rsid w:val="0033590B"/>
    <w:rsid w:val="00335B7D"/>
    <w:rsid w:val="00335D21"/>
    <w:rsid w:val="00335FDF"/>
    <w:rsid w:val="00336451"/>
    <w:rsid w:val="00336A30"/>
    <w:rsid w:val="00336EF7"/>
    <w:rsid w:val="00336F43"/>
    <w:rsid w:val="00336F59"/>
    <w:rsid w:val="003371FB"/>
    <w:rsid w:val="003377C3"/>
    <w:rsid w:val="003377EF"/>
    <w:rsid w:val="00337833"/>
    <w:rsid w:val="00337A25"/>
    <w:rsid w:val="003400CF"/>
    <w:rsid w:val="003401AA"/>
    <w:rsid w:val="00340718"/>
    <w:rsid w:val="003408C8"/>
    <w:rsid w:val="0034092E"/>
    <w:rsid w:val="003409FA"/>
    <w:rsid w:val="0034112D"/>
    <w:rsid w:val="00341260"/>
    <w:rsid w:val="00341A81"/>
    <w:rsid w:val="003420BA"/>
    <w:rsid w:val="00342861"/>
    <w:rsid w:val="003429BD"/>
    <w:rsid w:val="00343347"/>
    <w:rsid w:val="0034391C"/>
    <w:rsid w:val="00343D7A"/>
    <w:rsid w:val="00344152"/>
    <w:rsid w:val="00344195"/>
    <w:rsid w:val="00345036"/>
    <w:rsid w:val="003460C1"/>
    <w:rsid w:val="00346235"/>
    <w:rsid w:val="00346305"/>
    <w:rsid w:val="003469C4"/>
    <w:rsid w:val="003473BE"/>
    <w:rsid w:val="00347454"/>
    <w:rsid w:val="0034791A"/>
    <w:rsid w:val="00347AA3"/>
    <w:rsid w:val="00347E88"/>
    <w:rsid w:val="00347F8B"/>
    <w:rsid w:val="0035010C"/>
    <w:rsid w:val="0035016C"/>
    <w:rsid w:val="00350645"/>
    <w:rsid w:val="003509D8"/>
    <w:rsid w:val="00350C1D"/>
    <w:rsid w:val="00350F9C"/>
    <w:rsid w:val="0035138A"/>
    <w:rsid w:val="0035178F"/>
    <w:rsid w:val="003517FA"/>
    <w:rsid w:val="00351EF5"/>
    <w:rsid w:val="00351FC9"/>
    <w:rsid w:val="00352550"/>
    <w:rsid w:val="003528C6"/>
    <w:rsid w:val="00352F9F"/>
    <w:rsid w:val="00353190"/>
    <w:rsid w:val="0035343D"/>
    <w:rsid w:val="00353B85"/>
    <w:rsid w:val="00354515"/>
    <w:rsid w:val="00354C2F"/>
    <w:rsid w:val="00354D7F"/>
    <w:rsid w:val="00354EA4"/>
    <w:rsid w:val="00355537"/>
    <w:rsid w:val="0035597E"/>
    <w:rsid w:val="00355AD0"/>
    <w:rsid w:val="00356381"/>
    <w:rsid w:val="003567E4"/>
    <w:rsid w:val="00356B23"/>
    <w:rsid w:val="0035718A"/>
    <w:rsid w:val="00357789"/>
    <w:rsid w:val="00357F81"/>
    <w:rsid w:val="00357FC3"/>
    <w:rsid w:val="00360385"/>
    <w:rsid w:val="00360604"/>
    <w:rsid w:val="003609F4"/>
    <w:rsid w:val="00360F98"/>
    <w:rsid w:val="00361290"/>
    <w:rsid w:val="003613CB"/>
    <w:rsid w:val="00361C8E"/>
    <w:rsid w:val="0036205B"/>
    <w:rsid w:val="00362094"/>
    <w:rsid w:val="003620C7"/>
    <w:rsid w:val="00362361"/>
    <w:rsid w:val="0036238F"/>
    <w:rsid w:val="003628CF"/>
    <w:rsid w:val="00362D29"/>
    <w:rsid w:val="00362F36"/>
    <w:rsid w:val="00362FC6"/>
    <w:rsid w:val="00362FD7"/>
    <w:rsid w:val="003630E1"/>
    <w:rsid w:val="00363350"/>
    <w:rsid w:val="00363848"/>
    <w:rsid w:val="003638E6"/>
    <w:rsid w:val="003638ED"/>
    <w:rsid w:val="003639FB"/>
    <w:rsid w:val="00363A69"/>
    <w:rsid w:val="00363C0A"/>
    <w:rsid w:val="003645D7"/>
    <w:rsid w:val="0036468F"/>
    <w:rsid w:val="0036497A"/>
    <w:rsid w:val="0036498F"/>
    <w:rsid w:val="00365F58"/>
    <w:rsid w:val="0036692D"/>
    <w:rsid w:val="00366A96"/>
    <w:rsid w:val="00366F4E"/>
    <w:rsid w:val="003677E2"/>
    <w:rsid w:val="00367A57"/>
    <w:rsid w:val="00370134"/>
    <w:rsid w:val="00370452"/>
    <w:rsid w:val="003704E0"/>
    <w:rsid w:val="00370545"/>
    <w:rsid w:val="00370709"/>
    <w:rsid w:val="003708F8"/>
    <w:rsid w:val="00370D29"/>
    <w:rsid w:val="00370D81"/>
    <w:rsid w:val="003710C5"/>
    <w:rsid w:val="0037184F"/>
    <w:rsid w:val="003719CD"/>
    <w:rsid w:val="00371CAB"/>
    <w:rsid w:val="00371F7B"/>
    <w:rsid w:val="0037209F"/>
    <w:rsid w:val="00372EBB"/>
    <w:rsid w:val="00372F39"/>
    <w:rsid w:val="0037300B"/>
    <w:rsid w:val="003734DE"/>
    <w:rsid w:val="00373A17"/>
    <w:rsid w:val="00373ED3"/>
    <w:rsid w:val="00374064"/>
    <w:rsid w:val="003744CD"/>
    <w:rsid w:val="00374540"/>
    <w:rsid w:val="00375036"/>
    <w:rsid w:val="003754B7"/>
    <w:rsid w:val="003755C3"/>
    <w:rsid w:val="0037579F"/>
    <w:rsid w:val="00376109"/>
    <w:rsid w:val="00376419"/>
    <w:rsid w:val="00376FBB"/>
    <w:rsid w:val="003774E9"/>
    <w:rsid w:val="003777F7"/>
    <w:rsid w:val="003778A5"/>
    <w:rsid w:val="00377AB9"/>
    <w:rsid w:val="00380038"/>
    <w:rsid w:val="00380C5D"/>
    <w:rsid w:val="00381764"/>
    <w:rsid w:val="003818DA"/>
    <w:rsid w:val="003819AC"/>
    <w:rsid w:val="00381A8E"/>
    <w:rsid w:val="0038202A"/>
    <w:rsid w:val="0038258B"/>
    <w:rsid w:val="003827A3"/>
    <w:rsid w:val="00382E68"/>
    <w:rsid w:val="00383C15"/>
    <w:rsid w:val="00383DDF"/>
    <w:rsid w:val="00383FC8"/>
    <w:rsid w:val="00384556"/>
    <w:rsid w:val="00384FAC"/>
    <w:rsid w:val="00385205"/>
    <w:rsid w:val="00385451"/>
    <w:rsid w:val="00385B3B"/>
    <w:rsid w:val="003863CD"/>
    <w:rsid w:val="0038650E"/>
    <w:rsid w:val="0038672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7A4"/>
    <w:rsid w:val="00395AED"/>
    <w:rsid w:val="00395AFC"/>
    <w:rsid w:val="00395BB4"/>
    <w:rsid w:val="0039620D"/>
    <w:rsid w:val="003963AB"/>
    <w:rsid w:val="00396A13"/>
    <w:rsid w:val="00397219"/>
    <w:rsid w:val="00397277"/>
    <w:rsid w:val="0039731C"/>
    <w:rsid w:val="003975F4"/>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7FF"/>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794"/>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ABE"/>
    <w:rsid w:val="003C2B7B"/>
    <w:rsid w:val="003C33AC"/>
    <w:rsid w:val="003C33D1"/>
    <w:rsid w:val="003C3753"/>
    <w:rsid w:val="003C3A54"/>
    <w:rsid w:val="003C3D54"/>
    <w:rsid w:val="003C3DDA"/>
    <w:rsid w:val="003C3EAE"/>
    <w:rsid w:val="003C408F"/>
    <w:rsid w:val="003C421D"/>
    <w:rsid w:val="003C495B"/>
    <w:rsid w:val="003C5116"/>
    <w:rsid w:val="003C603D"/>
    <w:rsid w:val="003C6984"/>
    <w:rsid w:val="003C6C56"/>
    <w:rsid w:val="003C6DEC"/>
    <w:rsid w:val="003C748F"/>
    <w:rsid w:val="003C767E"/>
    <w:rsid w:val="003C7733"/>
    <w:rsid w:val="003C773C"/>
    <w:rsid w:val="003C7BC5"/>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A9D"/>
    <w:rsid w:val="003D50BC"/>
    <w:rsid w:val="003D731B"/>
    <w:rsid w:val="003D7DB4"/>
    <w:rsid w:val="003D7DCB"/>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AB5"/>
    <w:rsid w:val="003E4EA4"/>
    <w:rsid w:val="003E5A7E"/>
    <w:rsid w:val="003E5B6E"/>
    <w:rsid w:val="003E5BA5"/>
    <w:rsid w:val="003E5FB4"/>
    <w:rsid w:val="003E64BF"/>
    <w:rsid w:val="003E6644"/>
    <w:rsid w:val="003E673D"/>
    <w:rsid w:val="003E674F"/>
    <w:rsid w:val="003E6A58"/>
    <w:rsid w:val="003E6D5C"/>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FF"/>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017"/>
    <w:rsid w:val="0040364A"/>
    <w:rsid w:val="004036A9"/>
    <w:rsid w:val="00403E27"/>
    <w:rsid w:val="00403E53"/>
    <w:rsid w:val="00403E76"/>
    <w:rsid w:val="00404118"/>
    <w:rsid w:val="00404127"/>
    <w:rsid w:val="0040450D"/>
    <w:rsid w:val="004054D9"/>
    <w:rsid w:val="00405577"/>
    <w:rsid w:val="004057B0"/>
    <w:rsid w:val="004057D5"/>
    <w:rsid w:val="00405933"/>
    <w:rsid w:val="00405D16"/>
    <w:rsid w:val="00406323"/>
    <w:rsid w:val="00406524"/>
    <w:rsid w:val="004067B7"/>
    <w:rsid w:val="00406B4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165"/>
    <w:rsid w:val="00420269"/>
    <w:rsid w:val="0042083E"/>
    <w:rsid w:val="004210C3"/>
    <w:rsid w:val="00421497"/>
    <w:rsid w:val="0042161D"/>
    <w:rsid w:val="00422219"/>
    <w:rsid w:val="0042357F"/>
    <w:rsid w:val="00423A86"/>
    <w:rsid w:val="00423EC2"/>
    <w:rsid w:val="00423F42"/>
    <w:rsid w:val="0042430A"/>
    <w:rsid w:val="0042436C"/>
    <w:rsid w:val="00424762"/>
    <w:rsid w:val="00424E75"/>
    <w:rsid w:val="004255FF"/>
    <w:rsid w:val="00425C19"/>
    <w:rsid w:val="00425F15"/>
    <w:rsid w:val="00425FB6"/>
    <w:rsid w:val="004260BE"/>
    <w:rsid w:val="004265BA"/>
    <w:rsid w:val="00426B00"/>
    <w:rsid w:val="00426C5F"/>
    <w:rsid w:val="00427413"/>
    <w:rsid w:val="0042755F"/>
    <w:rsid w:val="00430174"/>
    <w:rsid w:val="00430413"/>
    <w:rsid w:val="00430778"/>
    <w:rsid w:val="00430BC4"/>
    <w:rsid w:val="00430F99"/>
    <w:rsid w:val="00430FA1"/>
    <w:rsid w:val="00431544"/>
    <w:rsid w:val="00431A4D"/>
    <w:rsid w:val="00431B8E"/>
    <w:rsid w:val="00431EAE"/>
    <w:rsid w:val="00432D02"/>
    <w:rsid w:val="0043318B"/>
    <w:rsid w:val="004332FF"/>
    <w:rsid w:val="00433422"/>
    <w:rsid w:val="00433426"/>
    <w:rsid w:val="00433768"/>
    <w:rsid w:val="004342DA"/>
    <w:rsid w:val="00434A95"/>
    <w:rsid w:val="00434EB1"/>
    <w:rsid w:val="00435393"/>
    <w:rsid w:val="0043573F"/>
    <w:rsid w:val="004357D8"/>
    <w:rsid w:val="0043582D"/>
    <w:rsid w:val="00435996"/>
    <w:rsid w:val="0043602F"/>
    <w:rsid w:val="00436185"/>
    <w:rsid w:val="0043695C"/>
    <w:rsid w:val="00436AE3"/>
    <w:rsid w:val="00436FD8"/>
    <w:rsid w:val="00437006"/>
    <w:rsid w:val="00437250"/>
    <w:rsid w:val="004402B7"/>
    <w:rsid w:val="00440375"/>
    <w:rsid w:val="004403ED"/>
    <w:rsid w:val="00440718"/>
    <w:rsid w:val="00441047"/>
    <w:rsid w:val="004415FC"/>
    <w:rsid w:val="004429C0"/>
    <w:rsid w:val="00442C2D"/>
    <w:rsid w:val="00442CCF"/>
    <w:rsid w:val="00442E9C"/>
    <w:rsid w:val="00442EA5"/>
    <w:rsid w:val="0044309E"/>
    <w:rsid w:val="00443A6E"/>
    <w:rsid w:val="00443CD9"/>
    <w:rsid w:val="00444016"/>
    <w:rsid w:val="00444468"/>
    <w:rsid w:val="00444A62"/>
    <w:rsid w:val="00444B0E"/>
    <w:rsid w:val="00445044"/>
    <w:rsid w:val="0044525E"/>
    <w:rsid w:val="004453B8"/>
    <w:rsid w:val="00445581"/>
    <w:rsid w:val="00445983"/>
    <w:rsid w:val="00446408"/>
    <w:rsid w:val="0044659F"/>
    <w:rsid w:val="00446E0E"/>
    <w:rsid w:val="004470AB"/>
    <w:rsid w:val="004470CA"/>
    <w:rsid w:val="00447266"/>
    <w:rsid w:val="00447BF7"/>
    <w:rsid w:val="00447EFB"/>
    <w:rsid w:val="00450037"/>
    <w:rsid w:val="004500DC"/>
    <w:rsid w:val="00450434"/>
    <w:rsid w:val="004507CB"/>
    <w:rsid w:val="004508FC"/>
    <w:rsid w:val="0045115B"/>
    <w:rsid w:val="00451223"/>
    <w:rsid w:val="00451899"/>
    <w:rsid w:val="00451A23"/>
    <w:rsid w:val="00451D07"/>
    <w:rsid w:val="004522D2"/>
    <w:rsid w:val="004528B5"/>
    <w:rsid w:val="00452A61"/>
    <w:rsid w:val="0045316F"/>
    <w:rsid w:val="004532DF"/>
    <w:rsid w:val="004533E0"/>
    <w:rsid w:val="00453956"/>
    <w:rsid w:val="00453A44"/>
    <w:rsid w:val="00453AC3"/>
    <w:rsid w:val="00453D51"/>
    <w:rsid w:val="00453F0F"/>
    <w:rsid w:val="00453F65"/>
    <w:rsid w:val="00454661"/>
    <w:rsid w:val="004547C3"/>
    <w:rsid w:val="004547E7"/>
    <w:rsid w:val="00454AA4"/>
    <w:rsid w:val="00454AF1"/>
    <w:rsid w:val="00454FD6"/>
    <w:rsid w:val="0045587C"/>
    <w:rsid w:val="00455A9D"/>
    <w:rsid w:val="004561EF"/>
    <w:rsid w:val="00456293"/>
    <w:rsid w:val="00456302"/>
    <w:rsid w:val="00456342"/>
    <w:rsid w:val="004563E1"/>
    <w:rsid w:val="0045641A"/>
    <w:rsid w:val="004565A7"/>
    <w:rsid w:val="00456A23"/>
    <w:rsid w:val="00456DA5"/>
    <w:rsid w:val="00457045"/>
    <w:rsid w:val="004571EA"/>
    <w:rsid w:val="00457990"/>
    <w:rsid w:val="004602E1"/>
    <w:rsid w:val="004609B4"/>
    <w:rsid w:val="00460AFC"/>
    <w:rsid w:val="00460D8F"/>
    <w:rsid w:val="00461513"/>
    <w:rsid w:val="00461CBA"/>
    <w:rsid w:val="004620A8"/>
    <w:rsid w:val="00462BC1"/>
    <w:rsid w:val="00462F81"/>
    <w:rsid w:val="0046364B"/>
    <w:rsid w:val="0046380C"/>
    <w:rsid w:val="00463ACE"/>
    <w:rsid w:val="00463D1B"/>
    <w:rsid w:val="00463DC7"/>
    <w:rsid w:val="00464A8F"/>
    <w:rsid w:val="00465DF8"/>
    <w:rsid w:val="00465E2F"/>
    <w:rsid w:val="00466478"/>
    <w:rsid w:val="00466839"/>
    <w:rsid w:val="00466F8F"/>
    <w:rsid w:val="00466FDE"/>
    <w:rsid w:val="00467433"/>
    <w:rsid w:val="00467AE5"/>
    <w:rsid w:val="00467B53"/>
    <w:rsid w:val="00467F58"/>
    <w:rsid w:val="0047067F"/>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D05"/>
    <w:rsid w:val="00472EC2"/>
    <w:rsid w:val="00473266"/>
    <w:rsid w:val="00473BCE"/>
    <w:rsid w:val="00473CE1"/>
    <w:rsid w:val="0047436E"/>
    <w:rsid w:val="0047469E"/>
    <w:rsid w:val="00474A0F"/>
    <w:rsid w:val="00474B96"/>
    <w:rsid w:val="00474BF7"/>
    <w:rsid w:val="00474D3A"/>
    <w:rsid w:val="00474E96"/>
    <w:rsid w:val="00474EF7"/>
    <w:rsid w:val="004750E4"/>
    <w:rsid w:val="0047530F"/>
    <w:rsid w:val="00475B4C"/>
    <w:rsid w:val="00475E10"/>
    <w:rsid w:val="00476093"/>
    <w:rsid w:val="00476BCA"/>
    <w:rsid w:val="00476C31"/>
    <w:rsid w:val="00476FA6"/>
    <w:rsid w:val="004771AA"/>
    <w:rsid w:val="0047733E"/>
    <w:rsid w:val="00477405"/>
    <w:rsid w:val="004776BE"/>
    <w:rsid w:val="00477B96"/>
    <w:rsid w:val="00477E76"/>
    <w:rsid w:val="0048088B"/>
    <w:rsid w:val="004808F2"/>
    <w:rsid w:val="00480A2C"/>
    <w:rsid w:val="00480CBA"/>
    <w:rsid w:val="00480CE5"/>
    <w:rsid w:val="00480FC8"/>
    <w:rsid w:val="00481BFD"/>
    <w:rsid w:val="00481C41"/>
    <w:rsid w:val="00481F90"/>
    <w:rsid w:val="00482274"/>
    <w:rsid w:val="004825BB"/>
    <w:rsid w:val="00482887"/>
    <w:rsid w:val="00482A1D"/>
    <w:rsid w:val="00483617"/>
    <w:rsid w:val="00483680"/>
    <w:rsid w:val="004839A7"/>
    <w:rsid w:val="00483FA0"/>
    <w:rsid w:val="00484911"/>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7B2"/>
    <w:rsid w:val="00490B09"/>
    <w:rsid w:val="00491A7C"/>
    <w:rsid w:val="00491F8E"/>
    <w:rsid w:val="004923ED"/>
    <w:rsid w:val="004925CC"/>
    <w:rsid w:val="004927FF"/>
    <w:rsid w:val="00493281"/>
    <w:rsid w:val="004936F8"/>
    <w:rsid w:val="00493C07"/>
    <w:rsid w:val="00493D2C"/>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366"/>
    <w:rsid w:val="004A05A7"/>
    <w:rsid w:val="004A0813"/>
    <w:rsid w:val="004A0CDC"/>
    <w:rsid w:val="004A0E12"/>
    <w:rsid w:val="004A1035"/>
    <w:rsid w:val="004A153D"/>
    <w:rsid w:val="004A16D0"/>
    <w:rsid w:val="004A1F24"/>
    <w:rsid w:val="004A21CB"/>
    <w:rsid w:val="004A230B"/>
    <w:rsid w:val="004A2577"/>
    <w:rsid w:val="004A2677"/>
    <w:rsid w:val="004A270E"/>
    <w:rsid w:val="004A2C9C"/>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57"/>
    <w:rsid w:val="004A79C3"/>
    <w:rsid w:val="004A7B80"/>
    <w:rsid w:val="004A7BF5"/>
    <w:rsid w:val="004A7E0C"/>
    <w:rsid w:val="004A7F92"/>
    <w:rsid w:val="004B008F"/>
    <w:rsid w:val="004B059B"/>
    <w:rsid w:val="004B0631"/>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0B1"/>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BB9"/>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3B23"/>
    <w:rsid w:val="004C3CF1"/>
    <w:rsid w:val="004C3E42"/>
    <w:rsid w:val="004C42F4"/>
    <w:rsid w:val="004C4576"/>
    <w:rsid w:val="004C4904"/>
    <w:rsid w:val="004C4982"/>
    <w:rsid w:val="004C4BB0"/>
    <w:rsid w:val="004C4ECB"/>
    <w:rsid w:val="004C5020"/>
    <w:rsid w:val="004C5BFA"/>
    <w:rsid w:val="004C5ED1"/>
    <w:rsid w:val="004C62C2"/>
    <w:rsid w:val="004C62FF"/>
    <w:rsid w:val="004C6399"/>
    <w:rsid w:val="004C686B"/>
    <w:rsid w:val="004C6964"/>
    <w:rsid w:val="004C6F0D"/>
    <w:rsid w:val="004C7051"/>
    <w:rsid w:val="004C7C80"/>
    <w:rsid w:val="004C7D75"/>
    <w:rsid w:val="004C7DE5"/>
    <w:rsid w:val="004D011D"/>
    <w:rsid w:val="004D020D"/>
    <w:rsid w:val="004D15FC"/>
    <w:rsid w:val="004D17DE"/>
    <w:rsid w:val="004D1CFF"/>
    <w:rsid w:val="004D20CF"/>
    <w:rsid w:val="004D215A"/>
    <w:rsid w:val="004D22E1"/>
    <w:rsid w:val="004D2CC1"/>
    <w:rsid w:val="004D2E22"/>
    <w:rsid w:val="004D30B3"/>
    <w:rsid w:val="004D39DC"/>
    <w:rsid w:val="004D3CA2"/>
    <w:rsid w:val="004D3DD0"/>
    <w:rsid w:val="004D3E1D"/>
    <w:rsid w:val="004D4355"/>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58"/>
    <w:rsid w:val="004D70B7"/>
    <w:rsid w:val="004D71AD"/>
    <w:rsid w:val="004D76EE"/>
    <w:rsid w:val="004D79A3"/>
    <w:rsid w:val="004E0122"/>
    <w:rsid w:val="004E05CA"/>
    <w:rsid w:val="004E067D"/>
    <w:rsid w:val="004E0802"/>
    <w:rsid w:val="004E089D"/>
    <w:rsid w:val="004E0B42"/>
    <w:rsid w:val="004E0E53"/>
    <w:rsid w:val="004E0FBB"/>
    <w:rsid w:val="004E118B"/>
    <w:rsid w:val="004E1929"/>
    <w:rsid w:val="004E1F92"/>
    <w:rsid w:val="004E212F"/>
    <w:rsid w:val="004E2320"/>
    <w:rsid w:val="004E24E6"/>
    <w:rsid w:val="004E2BB0"/>
    <w:rsid w:val="004E2BB9"/>
    <w:rsid w:val="004E2DD3"/>
    <w:rsid w:val="004E2FD3"/>
    <w:rsid w:val="004E3124"/>
    <w:rsid w:val="004E327E"/>
    <w:rsid w:val="004E3349"/>
    <w:rsid w:val="004E3C1C"/>
    <w:rsid w:val="004E43A1"/>
    <w:rsid w:val="004E4491"/>
    <w:rsid w:val="004E4A81"/>
    <w:rsid w:val="004E4ADA"/>
    <w:rsid w:val="004E4D5F"/>
    <w:rsid w:val="004E4F7E"/>
    <w:rsid w:val="004E5834"/>
    <w:rsid w:val="004E5985"/>
    <w:rsid w:val="004E5F1D"/>
    <w:rsid w:val="004E5F69"/>
    <w:rsid w:val="004E6438"/>
    <w:rsid w:val="004E693A"/>
    <w:rsid w:val="004E6A24"/>
    <w:rsid w:val="004E705F"/>
    <w:rsid w:val="004E7160"/>
    <w:rsid w:val="004E7542"/>
    <w:rsid w:val="004E76E2"/>
    <w:rsid w:val="004E77F1"/>
    <w:rsid w:val="004E7AED"/>
    <w:rsid w:val="004E7FFA"/>
    <w:rsid w:val="004F0243"/>
    <w:rsid w:val="004F0416"/>
    <w:rsid w:val="004F0515"/>
    <w:rsid w:val="004F069C"/>
    <w:rsid w:val="004F07A7"/>
    <w:rsid w:val="004F0A1E"/>
    <w:rsid w:val="004F0AF2"/>
    <w:rsid w:val="004F0C8F"/>
    <w:rsid w:val="004F0D03"/>
    <w:rsid w:val="004F0DFF"/>
    <w:rsid w:val="004F1511"/>
    <w:rsid w:val="004F1514"/>
    <w:rsid w:val="004F1B9A"/>
    <w:rsid w:val="004F1CE6"/>
    <w:rsid w:val="004F1D1C"/>
    <w:rsid w:val="004F1DCE"/>
    <w:rsid w:val="004F1EB3"/>
    <w:rsid w:val="004F2767"/>
    <w:rsid w:val="004F287B"/>
    <w:rsid w:val="004F3582"/>
    <w:rsid w:val="004F3B3F"/>
    <w:rsid w:val="004F3E5A"/>
    <w:rsid w:val="004F40F4"/>
    <w:rsid w:val="004F417E"/>
    <w:rsid w:val="004F42CC"/>
    <w:rsid w:val="004F44E0"/>
    <w:rsid w:val="004F47D9"/>
    <w:rsid w:val="004F50FF"/>
    <w:rsid w:val="004F5463"/>
    <w:rsid w:val="004F5AA0"/>
    <w:rsid w:val="004F60BF"/>
    <w:rsid w:val="004F6332"/>
    <w:rsid w:val="004F6767"/>
    <w:rsid w:val="004F6DD0"/>
    <w:rsid w:val="004F7705"/>
    <w:rsid w:val="004F7935"/>
    <w:rsid w:val="00500075"/>
    <w:rsid w:val="00500203"/>
    <w:rsid w:val="005002B9"/>
    <w:rsid w:val="00500B56"/>
    <w:rsid w:val="00500CCF"/>
    <w:rsid w:val="00501161"/>
    <w:rsid w:val="00501536"/>
    <w:rsid w:val="00501E46"/>
    <w:rsid w:val="0050209D"/>
    <w:rsid w:val="005021B2"/>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9C2"/>
    <w:rsid w:val="00504C64"/>
    <w:rsid w:val="00504E23"/>
    <w:rsid w:val="00505673"/>
    <w:rsid w:val="00505D10"/>
    <w:rsid w:val="00506488"/>
    <w:rsid w:val="0050689E"/>
    <w:rsid w:val="0050699D"/>
    <w:rsid w:val="00506A45"/>
    <w:rsid w:val="00506FC6"/>
    <w:rsid w:val="0050759F"/>
    <w:rsid w:val="00507C79"/>
    <w:rsid w:val="00507E1E"/>
    <w:rsid w:val="005102C3"/>
    <w:rsid w:val="0051033C"/>
    <w:rsid w:val="00510901"/>
    <w:rsid w:val="00511095"/>
    <w:rsid w:val="0051120D"/>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590"/>
    <w:rsid w:val="0051687E"/>
    <w:rsid w:val="005169D1"/>
    <w:rsid w:val="00516B47"/>
    <w:rsid w:val="0051709A"/>
    <w:rsid w:val="0051754B"/>
    <w:rsid w:val="00517569"/>
    <w:rsid w:val="005176A9"/>
    <w:rsid w:val="00517956"/>
    <w:rsid w:val="0051798B"/>
    <w:rsid w:val="00517D20"/>
    <w:rsid w:val="00517D9B"/>
    <w:rsid w:val="00517E2B"/>
    <w:rsid w:val="005204D4"/>
    <w:rsid w:val="00520C5B"/>
    <w:rsid w:val="00521261"/>
    <w:rsid w:val="0052154B"/>
    <w:rsid w:val="00521ACF"/>
    <w:rsid w:val="00521AEA"/>
    <w:rsid w:val="00521D89"/>
    <w:rsid w:val="00521FD9"/>
    <w:rsid w:val="005221AD"/>
    <w:rsid w:val="00522FFE"/>
    <w:rsid w:val="005231C6"/>
    <w:rsid w:val="005236B4"/>
    <w:rsid w:val="00523C39"/>
    <w:rsid w:val="00524355"/>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8C5"/>
    <w:rsid w:val="00526AE4"/>
    <w:rsid w:val="00526BA7"/>
    <w:rsid w:val="00526D7B"/>
    <w:rsid w:val="0052726C"/>
    <w:rsid w:val="005272BF"/>
    <w:rsid w:val="005279A5"/>
    <w:rsid w:val="005279F2"/>
    <w:rsid w:val="00530214"/>
    <w:rsid w:val="00530235"/>
    <w:rsid w:val="005304CB"/>
    <w:rsid w:val="00530A34"/>
    <w:rsid w:val="00530D1E"/>
    <w:rsid w:val="00530E63"/>
    <w:rsid w:val="005311BD"/>
    <w:rsid w:val="00531B4F"/>
    <w:rsid w:val="00531C9C"/>
    <w:rsid w:val="00532160"/>
    <w:rsid w:val="0053228B"/>
    <w:rsid w:val="005322CB"/>
    <w:rsid w:val="005324E3"/>
    <w:rsid w:val="00532764"/>
    <w:rsid w:val="005328E6"/>
    <w:rsid w:val="00532A1C"/>
    <w:rsid w:val="00532E76"/>
    <w:rsid w:val="00533415"/>
    <w:rsid w:val="005335FF"/>
    <w:rsid w:val="00533B7D"/>
    <w:rsid w:val="00533BE9"/>
    <w:rsid w:val="00533D74"/>
    <w:rsid w:val="00534144"/>
    <w:rsid w:val="0053435A"/>
    <w:rsid w:val="00534593"/>
    <w:rsid w:val="005349C5"/>
    <w:rsid w:val="00534D6C"/>
    <w:rsid w:val="00534DE7"/>
    <w:rsid w:val="00535086"/>
    <w:rsid w:val="0053508D"/>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968"/>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EA5"/>
    <w:rsid w:val="00553044"/>
    <w:rsid w:val="005533CA"/>
    <w:rsid w:val="00553492"/>
    <w:rsid w:val="00553F87"/>
    <w:rsid w:val="00553FF9"/>
    <w:rsid w:val="0055439A"/>
    <w:rsid w:val="00554672"/>
    <w:rsid w:val="00554E43"/>
    <w:rsid w:val="00555145"/>
    <w:rsid w:val="005552CB"/>
    <w:rsid w:val="0055562E"/>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42D"/>
    <w:rsid w:val="00562A56"/>
    <w:rsid w:val="00562BCA"/>
    <w:rsid w:val="00562CB5"/>
    <w:rsid w:val="00562CBA"/>
    <w:rsid w:val="00563203"/>
    <w:rsid w:val="00563632"/>
    <w:rsid w:val="0056401A"/>
    <w:rsid w:val="00564122"/>
    <w:rsid w:val="005644D3"/>
    <w:rsid w:val="00564569"/>
    <w:rsid w:val="0056457E"/>
    <w:rsid w:val="005646AB"/>
    <w:rsid w:val="00564917"/>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AB5"/>
    <w:rsid w:val="0057106F"/>
    <w:rsid w:val="005710AD"/>
    <w:rsid w:val="00571348"/>
    <w:rsid w:val="00571430"/>
    <w:rsid w:val="00571C63"/>
    <w:rsid w:val="005726A7"/>
    <w:rsid w:val="005727AE"/>
    <w:rsid w:val="00572CBF"/>
    <w:rsid w:val="00573374"/>
    <w:rsid w:val="0057356D"/>
    <w:rsid w:val="00573699"/>
    <w:rsid w:val="005736FA"/>
    <w:rsid w:val="00573D17"/>
    <w:rsid w:val="0057453C"/>
    <w:rsid w:val="00575073"/>
    <w:rsid w:val="00575C25"/>
    <w:rsid w:val="00576A17"/>
    <w:rsid w:val="00576D5F"/>
    <w:rsid w:val="00576E09"/>
    <w:rsid w:val="00576E88"/>
    <w:rsid w:val="00576F04"/>
    <w:rsid w:val="00577059"/>
    <w:rsid w:val="005771F2"/>
    <w:rsid w:val="00577830"/>
    <w:rsid w:val="00577CD9"/>
    <w:rsid w:val="0058023D"/>
    <w:rsid w:val="00580495"/>
    <w:rsid w:val="005807CD"/>
    <w:rsid w:val="00580F29"/>
    <w:rsid w:val="00581085"/>
    <w:rsid w:val="005817D3"/>
    <w:rsid w:val="005819A7"/>
    <w:rsid w:val="00581A24"/>
    <w:rsid w:val="00582506"/>
    <w:rsid w:val="0058257C"/>
    <w:rsid w:val="00582C00"/>
    <w:rsid w:val="005835AA"/>
    <w:rsid w:val="0058368E"/>
    <w:rsid w:val="00583F40"/>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5DF"/>
    <w:rsid w:val="005876B6"/>
    <w:rsid w:val="0058788E"/>
    <w:rsid w:val="00587EB4"/>
    <w:rsid w:val="00590412"/>
    <w:rsid w:val="0059070D"/>
    <w:rsid w:val="00590A91"/>
    <w:rsid w:val="00590FAA"/>
    <w:rsid w:val="00590FF9"/>
    <w:rsid w:val="005916B9"/>
    <w:rsid w:val="005917D9"/>
    <w:rsid w:val="0059199D"/>
    <w:rsid w:val="00591F5F"/>
    <w:rsid w:val="005920D4"/>
    <w:rsid w:val="0059273B"/>
    <w:rsid w:val="00592939"/>
    <w:rsid w:val="00592C65"/>
    <w:rsid w:val="00592DF1"/>
    <w:rsid w:val="00592F48"/>
    <w:rsid w:val="0059321F"/>
    <w:rsid w:val="005939B3"/>
    <w:rsid w:val="00593C08"/>
    <w:rsid w:val="00593D7E"/>
    <w:rsid w:val="005942F1"/>
    <w:rsid w:val="0059436F"/>
    <w:rsid w:val="00594A8F"/>
    <w:rsid w:val="00595214"/>
    <w:rsid w:val="005952F0"/>
    <w:rsid w:val="005952FF"/>
    <w:rsid w:val="00595324"/>
    <w:rsid w:val="0059578A"/>
    <w:rsid w:val="00595B23"/>
    <w:rsid w:val="0059621B"/>
    <w:rsid w:val="00596958"/>
    <w:rsid w:val="00596A34"/>
    <w:rsid w:val="00596B77"/>
    <w:rsid w:val="00596C47"/>
    <w:rsid w:val="00596D74"/>
    <w:rsid w:val="005970C8"/>
    <w:rsid w:val="00597C16"/>
    <w:rsid w:val="00597C29"/>
    <w:rsid w:val="00597F5E"/>
    <w:rsid w:val="005A0284"/>
    <w:rsid w:val="005A02D1"/>
    <w:rsid w:val="005A13B8"/>
    <w:rsid w:val="005A1B23"/>
    <w:rsid w:val="005A1C76"/>
    <w:rsid w:val="005A1CA5"/>
    <w:rsid w:val="005A1DBA"/>
    <w:rsid w:val="005A1E4A"/>
    <w:rsid w:val="005A2778"/>
    <w:rsid w:val="005A2802"/>
    <w:rsid w:val="005A2CF4"/>
    <w:rsid w:val="005A2EC4"/>
    <w:rsid w:val="005A36C4"/>
    <w:rsid w:val="005A388C"/>
    <w:rsid w:val="005A3AD0"/>
    <w:rsid w:val="005A3D87"/>
    <w:rsid w:val="005A3FC1"/>
    <w:rsid w:val="005A41F5"/>
    <w:rsid w:val="005A424B"/>
    <w:rsid w:val="005A4417"/>
    <w:rsid w:val="005A4499"/>
    <w:rsid w:val="005A47B7"/>
    <w:rsid w:val="005A4A00"/>
    <w:rsid w:val="005A50D3"/>
    <w:rsid w:val="005A588C"/>
    <w:rsid w:val="005A5FFB"/>
    <w:rsid w:val="005A620C"/>
    <w:rsid w:val="005A6720"/>
    <w:rsid w:val="005A7185"/>
    <w:rsid w:val="005A71F7"/>
    <w:rsid w:val="005A74BF"/>
    <w:rsid w:val="005A780B"/>
    <w:rsid w:val="005A7C23"/>
    <w:rsid w:val="005A7C9A"/>
    <w:rsid w:val="005B0481"/>
    <w:rsid w:val="005B04CD"/>
    <w:rsid w:val="005B0545"/>
    <w:rsid w:val="005B08D3"/>
    <w:rsid w:val="005B097F"/>
    <w:rsid w:val="005B1002"/>
    <w:rsid w:val="005B12D3"/>
    <w:rsid w:val="005B145B"/>
    <w:rsid w:val="005B14E9"/>
    <w:rsid w:val="005B19FA"/>
    <w:rsid w:val="005B277F"/>
    <w:rsid w:val="005B3289"/>
    <w:rsid w:val="005B361E"/>
    <w:rsid w:val="005B36B3"/>
    <w:rsid w:val="005B3878"/>
    <w:rsid w:val="005B397C"/>
    <w:rsid w:val="005B42F2"/>
    <w:rsid w:val="005B4616"/>
    <w:rsid w:val="005B4C60"/>
    <w:rsid w:val="005B4F82"/>
    <w:rsid w:val="005B5544"/>
    <w:rsid w:val="005B5E55"/>
    <w:rsid w:val="005B6D12"/>
    <w:rsid w:val="005B72E4"/>
    <w:rsid w:val="005B7533"/>
    <w:rsid w:val="005B7828"/>
    <w:rsid w:val="005B7C6D"/>
    <w:rsid w:val="005C052D"/>
    <w:rsid w:val="005C0894"/>
    <w:rsid w:val="005C0A2F"/>
    <w:rsid w:val="005C0C8A"/>
    <w:rsid w:val="005C0DD5"/>
    <w:rsid w:val="005C19A3"/>
    <w:rsid w:val="005C19E4"/>
    <w:rsid w:val="005C1EBB"/>
    <w:rsid w:val="005C1F6B"/>
    <w:rsid w:val="005C21A5"/>
    <w:rsid w:val="005C220C"/>
    <w:rsid w:val="005C2276"/>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7059"/>
    <w:rsid w:val="005C7518"/>
    <w:rsid w:val="005C76A4"/>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AD5"/>
    <w:rsid w:val="005D2F35"/>
    <w:rsid w:val="005D31A1"/>
    <w:rsid w:val="005D37D0"/>
    <w:rsid w:val="005D38DE"/>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C2A"/>
    <w:rsid w:val="005D7D84"/>
    <w:rsid w:val="005D7DFA"/>
    <w:rsid w:val="005E03AB"/>
    <w:rsid w:val="005E0D05"/>
    <w:rsid w:val="005E1183"/>
    <w:rsid w:val="005E1559"/>
    <w:rsid w:val="005E29A1"/>
    <w:rsid w:val="005E2AA1"/>
    <w:rsid w:val="005E2C96"/>
    <w:rsid w:val="005E358F"/>
    <w:rsid w:val="005E3927"/>
    <w:rsid w:val="005E42AF"/>
    <w:rsid w:val="005E4418"/>
    <w:rsid w:val="005E46FC"/>
    <w:rsid w:val="005E53A1"/>
    <w:rsid w:val="005E587B"/>
    <w:rsid w:val="005E59DC"/>
    <w:rsid w:val="005E5E9A"/>
    <w:rsid w:val="005E63A1"/>
    <w:rsid w:val="005E6BCE"/>
    <w:rsid w:val="005E7271"/>
    <w:rsid w:val="005E7487"/>
    <w:rsid w:val="005E74EB"/>
    <w:rsid w:val="005E77BD"/>
    <w:rsid w:val="005E78C1"/>
    <w:rsid w:val="005E7C44"/>
    <w:rsid w:val="005E7CBE"/>
    <w:rsid w:val="005E7CC1"/>
    <w:rsid w:val="005E7F79"/>
    <w:rsid w:val="005F0519"/>
    <w:rsid w:val="005F055F"/>
    <w:rsid w:val="005F0791"/>
    <w:rsid w:val="005F1576"/>
    <w:rsid w:val="005F18E9"/>
    <w:rsid w:val="005F1967"/>
    <w:rsid w:val="005F19EB"/>
    <w:rsid w:val="005F1AE2"/>
    <w:rsid w:val="005F1FDA"/>
    <w:rsid w:val="005F22A4"/>
    <w:rsid w:val="005F270E"/>
    <w:rsid w:val="005F2EAB"/>
    <w:rsid w:val="005F371E"/>
    <w:rsid w:val="005F3A60"/>
    <w:rsid w:val="005F3D21"/>
    <w:rsid w:val="005F40E7"/>
    <w:rsid w:val="005F42CB"/>
    <w:rsid w:val="005F45F2"/>
    <w:rsid w:val="005F4D4A"/>
    <w:rsid w:val="005F4F17"/>
    <w:rsid w:val="005F52E8"/>
    <w:rsid w:val="005F538C"/>
    <w:rsid w:val="005F587C"/>
    <w:rsid w:val="005F5E3D"/>
    <w:rsid w:val="005F63A0"/>
    <w:rsid w:val="005F6536"/>
    <w:rsid w:val="005F6C4F"/>
    <w:rsid w:val="005F6EE0"/>
    <w:rsid w:val="005F7694"/>
    <w:rsid w:val="005F7E08"/>
    <w:rsid w:val="006000F2"/>
    <w:rsid w:val="006003A7"/>
    <w:rsid w:val="006005AD"/>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276"/>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F43"/>
    <w:rsid w:val="006103C7"/>
    <w:rsid w:val="0061063F"/>
    <w:rsid w:val="00610681"/>
    <w:rsid w:val="006106C7"/>
    <w:rsid w:val="00610D0F"/>
    <w:rsid w:val="00610EDF"/>
    <w:rsid w:val="00611D97"/>
    <w:rsid w:val="00611F1A"/>
    <w:rsid w:val="006122B3"/>
    <w:rsid w:val="006125E2"/>
    <w:rsid w:val="0061296D"/>
    <w:rsid w:val="00612D20"/>
    <w:rsid w:val="00612E08"/>
    <w:rsid w:val="00613596"/>
    <w:rsid w:val="006135E5"/>
    <w:rsid w:val="00613D91"/>
    <w:rsid w:val="006140BF"/>
    <w:rsid w:val="006141F4"/>
    <w:rsid w:val="006143EB"/>
    <w:rsid w:val="006153F5"/>
    <w:rsid w:val="006158DE"/>
    <w:rsid w:val="00615920"/>
    <w:rsid w:val="006159AD"/>
    <w:rsid w:val="00615A4E"/>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632"/>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CF"/>
    <w:rsid w:val="00625D32"/>
    <w:rsid w:val="00625EBB"/>
    <w:rsid w:val="006260A8"/>
    <w:rsid w:val="006265C1"/>
    <w:rsid w:val="006268DA"/>
    <w:rsid w:val="00626FAD"/>
    <w:rsid w:val="00627518"/>
    <w:rsid w:val="00627666"/>
    <w:rsid w:val="00627A42"/>
    <w:rsid w:val="00627DB2"/>
    <w:rsid w:val="00630116"/>
    <w:rsid w:val="006302A9"/>
    <w:rsid w:val="0063052B"/>
    <w:rsid w:val="00631197"/>
    <w:rsid w:val="00631601"/>
    <w:rsid w:val="006318A4"/>
    <w:rsid w:val="006319CE"/>
    <w:rsid w:val="00631EFD"/>
    <w:rsid w:val="006323E5"/>
    <w:rsid w:val="006324E8"/>
    <w:rsid w:val="0063262A"/>
    <w:rsid w:val="006327C2"/>
    <w:rsid w:val="0063325C"/>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8C1"/>
    <w:rsid w:val="00640DB2"/>
    <w:rsid w:val="00641490"/>
    <w:rsid w:val="0064158E"/>
    <w:rsid w:val="00641753"/>
    <w:rsid w:val="006428BB"/>
    <w:rsid w:val="006434F3"/>
    <w:rsid w:val="006437E5"/>
    <w:rsid w:val="006439BF"/>
    <w:rsid w:val="00643D08"/>
    <w:rsid w:val="006444D9"/>
    <w:rsid w:val="006448BD"/>
    <w:rsid w:val="00644A4F"/>
    <w:rsid w:val="00644DCB"/>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59"/>
    <w:rsid w:val="00647B71"/>
    <w:rsid w:val="0065005A"/>
    <w:rsid w:val="006513B9"/>
    <w:rsid w:val="00651972"/>
    <w:rsid w:val="00651CA0"/>
    <w:rsid w:val="00651F91"/>
    <w:rsid w:val="006520F9"/>
    <w:rsid w:val="0065253E"/>
    <w:rsid w:val="00652EEE"/>
    <w:rsid w:val="00653150"/>
    <w:rsid w:val="006535A3"/>
    <w:rsid w:val="00653947"/>
    <w:rsid w:val="00653AE7"/>
    <w:rsid w:val="0065464C"/>
    <w:rsid w:val="00654A49"/>
    <w:rsid w:val="00654B09"/>
    <w:rsid w:val="0065504B"/>
    <w:rsid w:val="0065573F"/>
    <w:rsid w:val="00655C50"/>
    <w:rsid w:val="00655CD8"/>
    <w:rsid w:val="00655FF1"/>
    <w:rsid w:val="00656D25"/>
    <w:rsid w:val="00656DD5"/>
    <w:rsid w:val="00656F56"/>
    <w:rsid w:val="00657397"/>
    <w:rsid w:val="00657891"/>
    <w:rsid w:val="00657991"/>
    <w:rsid w:val="00657B56"/>
    <w:rsid w:val="00657B93"/>
    <w:rsid w:val="00660346"/>
    <w:rsid w:val="006604FE"/>
    <w:rsid w:val="006608FE"/>
    <w:rsid w:val="00660CDC"/>
    <w:rsid w:val="00661340"/>
    <w:rsid w:val="0066162D"/>
    <w:rsid w:val="00661659"/>
    <w:rsid w:val="00661802"/>
    <w:rsid w:val="00661946"/>
    <w:rsid w:val="00661948"/>
    <w:rsid w:val="00661E7C"/>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359"/>
    <w:rsid w:val="00667565"/>
    <w:rsid w:val="006678DB"/>
    <w:rsid w:val="006678F0"/>
    <w:rsid w:val="00667DC8"/>
    <w:rsid w:val="00670B86"/>
    <w:rsid w:val="006713E6"/>
    <w:rsid w:val="006714BE"/>
    <w:rsid w:val="0067189F"/>
    <w:rsid w:val="00671B34"/>
    <w:rsid w:val="006727F5"/>
    <w:rsid w:val="006733C7"/>
    <w:rsid w:val="00673EE6"/>
    <w:rsid w:val="00674A09"/>
    <w:rsid w:val="00674EE0"/>
    <w:rsid w:val="0067547A"/>
    <w:rsid w:val="006757A4"/>
    <w:rsid w:val="0067589B"/>
    <w:rsid w:val="0067605E"/>
    <w:rsid w:val="00676AB6"/>
    <w:rsid w:val="00677107"/>
    <w:rsid w:val="0067795A"/>
    <w:rsid w:val="0067797C"/>
    <w:rsid w:val="00680472"/>
    <w:rsid w:val="0068075C"/>
    <w:rsid w:val="00680FB6"/>
    <w:rsid w:val="0068223C"/>
    <w:rsid w:val="00682377"/>
    <w:rsid w:val="006823CC"/>
    <w:rsid w:val="006827E4"/>
    <w:rsid w:val="00682854"/>
    <w:rsid w:val="00682C0B"/>
    <w:rsid w:val="0068340C"/>
    <w:rsid w:val="00683AAE"/>
    <w:rsid w:val="00683DE0"/>
    <w:rsid w:val="006846B0"/>
    <w:rsid w:val="00684966"/>
    <w:rsid w:val="00684C77"/>
    <w:rsid w:val="00684DFA"/>
    <w:rsid w:val="006856B4"/>
    <w:rsid w:val="00685810"/>
    <w:rsid w:val="006866EF"/>
    <w:rsid w:val="00686F01"/>
    <w:rsid w:val="00687CB2"/>
    <w:rsid w:val="00687F31"/>
    <w:rsid w:val="00687F49"/>
    <w:rsid w:val="0069005B"/>
    <w:rsid w:val="00690565"/>
    <w:rsid w:val="0069064D"/>
    <w:rsid w:val="00690FE2"/>
    <w:rsid w:val="00691811"/>
    <w:rsid w:val="00691FC3"/>
    <w:rsid w:val="006921AD"/>
    <w:rsid w:val="006923AD"/>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636"/>
    <w:rsid w:val="006A1692"/>
    <w:rsid w:val="006A17C4"/>
    <w:rsid w:val="006A185B"/>
    <w:rsid w:val="006A1FE8"/>
    <w:rsid w:val="006A3285"/>
    <w:rsid w:val="006A39AA"/>
    <w:rsid w:val="006A3F29"/>
    <w:rsid w:val="006A4413"/>
    <w:rsid w:val="006A4BA9"/>
    <w:rsid w:val="006A4C3A"/>
    <w:rsid w:val="006A4C66"/>
    <w:rsid w:val="006A5058"/>
    <w:rsid w:val="006A51CE"/>
    <w:rsid w:val="006A565C"/>
    <w:rsid w:val="006A58BD"/>
    <w:rsid w:val="006A5B65"/>
    <w:rsid w:val="006A5D27"/>
    <w:rsid w:val="006A5D41"/>
    <w:rsid w:val="006A5FBE"/>
    <w:rsid w:val="006A6520"/>
    <w:rsid w:val="006A6956"/>
    <w:rsid w:val="006A6A9D"/>
    <w:rsid w:val="006A71CA"/>
    <w:rsid w:val="006A73B9"/>
    <w:rsid w:val="006A7527"/>
    <w:rsid w:val="006A786F"/>
    <w:rsid w:val="006B15F5"/>
    <w:rsid w:val="006B17B5"/>
    <w:rsid w:val="006B19E2"/>
    <w:rsid w:val="006B1C45"/>
    <w:rsid w:val="006B1CF8"/>
    <w:rsid w:val="006B1E06"/>
    <w:rsid w:val="006B24C7"/>
    <w:rsid w:val="006B257B"/>
    <w:rsid w:val="006B26A2"/>
    <w:rsid w:val="006B26A3"/>
    <w:rsid w:val="006B3218"/>
    <w:rsid w:val="006B371E"/>
    <w:rsid w:val="006B438F"/>
    <w:rsid w:val="006B4473"/>
    <w:rsid w:val="006B4F32"/>
    <w:rsid w:val="006B5A51"/>
    <w:rsid w:val="006B6065"/>
    <w:rsid w:val="006B606B"/>
    <w:rsid w:val="006B6237"/>
    <w:rsid w:val="006B67D4"/>
    <w:rsid w:val="006B6F79"/>
    <w:rsid w:val="006B7084"/>
    <w:rsid w:val="006B74A4"/>
    <w:rsid w:val="006B75ED"/>
    <w:rsid w:val="006B7781"/>
    <w:rsid w:val="006B7BCF"/>
    <w:rsid w:val="006B7CFA"/>
    <w:rsid w:val="006C0A6F"/>
    <w:rsid w:val="006C0CEA"/>
    <w:rsid w:val="006C1B25"/>
    <w:rsid w:val="006C1B2C"/>
    <w:rsid w:val="006C20AA"/>
    <w:rsid w:val="006C21BA"/>
    <w:rsid w:val="006C21C2"/>
    <w:rsid w:val="006C254D"/>
    <w:rsid w:val="006C284A"/>
    <w:rsid w:val="006C2AB7"/>
    <w:rsid w:val="006C2AFF"/>
    <w:rsid w:val="006C2B5B"/>
    <w:rsid w:val="006C2CE3"/>
    <w:rsid w:val="006C2EF4"/>
    <w:rsid w:val="006C3640"/>
    <w:rsid w:val="006C3AA9"/>
    <w:rsid w:val="006C40D2"/>
    <w:rsid w:val="006C457A"/>
    <w:rsid w:val="006C4C53"/>
    <w:rsid w:val="006C5432"/>
    <w:rsid w:val="006C55E1"/>
    <w:rsid w:val="006C56F4"/>
    <w:rsid w:val="006C5790"/>
    <w:rsid w:val="006C5BD8"/>
    <w:rsid w:val="006C5D8C"/>
    <w:rsid w:val="006C61F1"/>
    <w:rsid w:val="006C6636"/>
    <w:rsid w:val="006C66D3"/>
    <w:rsid w:val="006C69A9"/>
    <w:rsid w:val="006C726A"/>
    <w:rsid w:val="006C75F3"/>
    <w:rsid w:val="006D063B"/>
    <w:rsid w:val="006D07E1"/>
    <w:rsid w:val="006D0839"/>
    <w:rsid w:val="006D09FB"/>
    <w:rsid w:val="006D0A88"/>
    <w:rsid w:val="006D1249"/>
    <w:rsid w:val="006D1339"/>
    <w:rsid w:val="006D14DB"/>
    <w:rsid w:val="006D162E"/>
    <w:rsid w:val="006D1A43"/>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70CB"/>
    <w:rsid w:val="006D71E8"/>
    <w:rsid w:val="006D7671"/>
    <w:rsid w:val="006D7A1B"/>
    <w:rsid w:val="006D7CAC"/>
    <w:rsid w:val="006E0838"/>
    <w:rsid w:val="006E08C9"/>
    <w:rsid w:val="006E2691"/>
    <w:rsid w:val="006E2BB9"/>
    <w:rsid w:val="006E2C2E"/>
    <w:rsid w:val="006E3348"/>
    <w:rsid w:val="006E35A3"/>
    <w:rsid w:val="006E365A"/>
    <w:rsid w:val="006E3BD3"/>
    <w:rsid w:val="006E3DD1"/>
    <w:rsid w:val="006E407D"/>
    <w:rsid w:val="006E458C"/>
    <w:rsid w:val="006E48E6"/>
    <w:rsid w:val="006E4A4B"/>
    <w:rsid w:val="006E5382"/>
    <w:rsid w:val="006E5386"/>
    <w:rsid w:val="006E543B"/>
    <w:rsid w:val="006E5B9D"/>
    <w:rsid w:val="006E5F82"/>
    <w:rsid w:val="006E6561"/>
    <w:rsid w:val="006E667A"/>
    <w:rsid w:val="006E6A12"/>
    <w:rsid w:val="006E6B1D"/>
    <w:rsid w:val="006E725C"/>
    <w:rsid w:val="006E763E"/>
    <w:rsid w:val="006E7B14"/>
    <w:rsid w:val="006E7B9F"/>
    <w:rsid w:val="006E7D22"/>
    <w:rsid w:val="006E7E2F"/>
    <w:rsid w:val="006F0243"/>
    <w:rsid w:val="006F0D15"/>
    <w:rsid w:val="006F161F"/>
    <w:rsid w:val="006F1B95"/>
    <w:rsid w:val="006F1F5C"/>
    <w:rsid w:val="006F219A"/>
    <w:rsid w:val="006F24EF"/>
    <w:rsid w:val="006F2768"/>
    <w:rsid w:val="006F286B"/>
    <w:rsid w:val="006F29B7"/>
    <w:rsid w:val="006F2AAB"/>
    <w:rsid w:val="006F2F25"/>
    <w:rsid w:val="006F2F94"/>
    <w:rsid w:val="006F2FDB"/>
    <w:rsid w:val="006F30A8"/>
    <w:rsid w:val="006F3327"/>
    <w:rsid w:val="006F34EB"/>
    <w:rsid w:val="006F37F4"/>
    <w:rsid w:val="006F3EEB"/>
    <w:rsid w:val="006F40F5"/>
    <w:rsid w:val="006F4397"/>
    <w:rsid w:val="006F4580"/>
    <w:rsid w:val="006F491F"/>
    <w:rsid w:val="006F4D8E"/>
    <w:rsid w:val="006F53FD"/>
    <w:rsid w:val="006F5D37"/>
    <w:rsid w:val="006F6537"/>
    <w:rsid w:val="006F6656"/>
    <w:rsid w:val="006F6A8A"/>
    <w:rsid w:val="006F6D48"/>
    <w:rsid w:val="006F7588"/>
    <w:rsid w:val="006F7D97"/>
    <w:rsid w:val="0070005A"/>
    <w:rsid w:val="00700205"/>
    <w:rsid w:val="0070020E"/>
    <w:rsid w:val="00700710"/>
    <w:rsid w:val="00700D0C"/>
    <w:rsid w:val="0070172F"/>
    <w:rsid w:val="00701B54"/>
    <w:rsid w:val="00702284"/>
    <w:rsid w:val="00702A98"/>
    <w:rsid w:val="00702D99"/>
    <w:rsid w:val="00702FD8"/>
    <w:rsid w:val="007038CB"/>
    <w:rsid w:val="00703952"/>
    <w:rsid w:val="007039D6"/>
    <w:rsid w:val="007039F4"/>
    <w:rsid w:val="007040E2"/>
    <w:rsid w:val="0070498A"/>
    <w:rsid w:val="00704D09"/>
    <w:rsid w:val="00705DC1"/>
    <w:rsid w:val="0070616B"/>
    <w:rsid w:val="0070661A"/>
    <w:rsid w:val="00706774"/>
    <w:rsid w:val="00706974"/>
    <w:rsid w:val="0070776D"/>
    <w:rsid w:val="0070787F"/>
    <w:rsid w:val="00707A6D"/>
    <w:rsid w:val="00710087"/>
    <w:rsid w:val="0071014E"/>
    <w:rsid w:val="007101AF"/>
    <w:rsid w:val="00710347"/>
    <w:rsid w:val="007104D9"/>
    <w:rsid w:val="00710520"/>
    <w:rsid w:val="007105D3"/>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F4D"/>
    <w:rsid w:val="0071529E"/>
    <w:rsid w:val="007157D4"/>
    <w:rsid w:val="00715B38"/>
    <w:rsid w:val="00715DB3"/>
    <w:rsid w:val="0071602E"/>
    <w:rsid w:val="00716356"/>
    <w:rsid w:val="007163E5"/>
    <w:rsid w:val="007165D9"/>
    <w:rsid w:val="007166E1"/>
    <w:rsid w:val="00716AC4"/>
    <w:rsid w:val="00717006"/>
    <w:rsid w:val="00717193"/>
    <w:rsid w:val="0071766B"/>
    <w:rsid w:val="00720C14"/>
    <w:rsid w:val="00720E2C"/>
    <w:rsid w:val="0072118C"/>
    <w:rsid w:val="00721CE7"/>
    <w:rsid w:val="00722076"/>
    <w:rsid w:val="007220C1"/>
    <w:rsid w:val="0072248C"/>
    <w:rsid w:val="00722748"/>
    <w:rsid w:val="00722836"/>
    <w:rsid w:val="00722C3F"/>
    <w:rsid w:val="00723696"/>
    <w:rsid w:val="007236DB"/>
    <w:rsid w:val="00723E6A"/>
    <w:rsid w:val="007245BB"/>
    <w:rsid w:val="00724839"/>
    <w:rsid w:val="00724E15"/>
    <w:rsid w:val="00725032"/>
    <w:rsid w:val="00725581"/>
    <w:rsid w:val="0072561A"/>
    <w:rsid w:val="00725681"/>
    <w:rsid w:val="007256E1"/>
    <w:rsid w:val="00725B75"/>
    <w:rsid w:val="00726083"/>
    <w:rsid w:val="007264DE"/>
    <w:rsid w:val="00726917"/>
    <w:rsid w:val="007269A0"/>
    <w:rsid w:val="00726B56"/>
    <w:rsid w:val="00726DDF"/>
    <w:rsid w:val="00726E33"/>
    <w:rsid w:val="00726FCF"/>
    <w:rsid w:val="007272EA"/>
    <w:rsid w:val="007278BE"/>
    <w:rsid w:val="00727C6C"/>
    <w:rsid w:val="00727D87"/>
    <w:rsid w:val="00727E23"/>
    <w:rsid w:val="00727FC8"/>
    <w:rsid w:val="00730070"/>
    <w:rsid w:val="00730422"/>
    <w:rsid w:val="0073059C"/>
    <w:rsid w:val="00730A09"/>
    <w:rsid w:val="0073103A"/>
    <w:rsid w:val="0073133C"/>
    <w:rsid w:val="00731529"/>
    <w:rsid w:val="007318DD"/>
    <w:rsid w:val="00731C03"/>
    <w:rsid w:val="0073237B"/>
    <w:rsid w:val="00732959"/>
    <w:rsid w:val="007333D7"/>
    <w:rsid w:val="0073386A"/>
    <w:rsid w:val="0073442C"/>
    <w:rsid w:val="0073485D"/>
    <w:rsid w:val="007349CB"/>
    <w:rsid w:val="00734C51"/>
    <w:rsid w:val="00734C85"/>
    <w:rsid w:val="00735128"/>
    <w:rsid w:val="007351C8"/>
    <w:rsid w:val="007352AE"/>
    <w:rsid w:val="00735423"/>
    <w:rsid w:val="0073568B"/>
    <w:rsid w:val="007357D0"/>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70B"/>
    <w:rsid w:val="007437EC"/>
    <w:rsid w:val="00743D03"/>
    <w:rsid w:val="0074406E"/>
    <w:rsid w:val="0074473F"/>
    <w:rsid w:val="007449C6"/>
    <w:rsid w:val="00744B73"/>
    <w:rsid w:val="00744FC5"/>
    <w:rsid w:val="007453AB"/>
    <w:rsid w:val="007459A9"/>
    <w:rsid w:val="00745B88"/>
    <w:rsid w:val="00746080"/>
    <w:rsid w:val="00746129"/>
    <w:rsid w:val="00746220"/>
    <w:rsid w:val="0074627F"/>
    <w:rsid w:val="00746C34"/>
    <w:rsid w:val="00746CB9"/>
    <w:rsid w:val="00746DBB"/>
    <w:rsid w:val="00747488"/>
    <w:rsid w:val="00747AD3"/>
    <w:rsid w:val="00747B2E"/>
    <w:rsid w:val="00750390"/>
    <w:rsid w:val="00750EC1"/>
    <w:rsid w:val="007513B5"/>
    <w:rsid w:val="00751655"/>
    <w:rsid w:val="00751EAF"/>
    <w:rsid w:val="00751F5B"/>
    <w:rsid w:val="007521DD"/>
    <w:rsid w:val="0075311D"/>
    <w:rsid w:val="00753C57"/>
    <w:rsid w:val="007543C7"/>
    <w:rsid w:val="0075447C"/>
    <w:rsid w:val="0075448C"/>
    <w:rsid w:val="00754686"/>
    <w:rsid w:val="00754787"/>
    <w:rsid w:val="00754913"/>
    <w:rsid w:val="007550CB"/>
    <w:rsid w:val="00755544"/>
    <w:rsid w:val="007556C0"/>
    <w:rsid w:val="00755BB7"/>
    <w:rsid w:val="00755D8D"/>
    <w:rsid w:val="00755FA8"/>
    <w:rsid w:val="00756185"/>
    <w:rsid w:val="0075672E"/>
    <w:rsid w:val="00756E25"/>
    <w:rsid w:val="00756ED7"/>
    <w:rsid w:val="00757657"/>
    <w:rsid w:val="00757C59"/>
    <w:rsid w:val="00757D56"/>
    <w:rsid w:val="00757FF1"/>
    <w:rsid w:val="00760459"/>
    <w:rsid w:val="007606EA"/>
    <w:rsid w:val="007607B2"/>
    <w:rsid w:val="00760CCB"/>
    <w:rsid w:val="00761205"/>
    <w:rsid w:val="0076146E"/>
    <w:rsid w:val="0076182B"/>
    <w:rsid w:val="00761F44"/>
    <w:rsid w:val="007623CF"/>
    <w:rsid w:val="007626A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10FD"/>
    <w:rsid w:val="0077187B"/>
    <w:rsid w:val="007718DF"/>
    <w:rsid w:val="00771B50"/>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0BA"/>
    <w:rsid w:val="007765D2"/>
    <w:rsid w:val="00776AD7"/>
    <w:rsid w:val="00776C1C"/>
    <w:rsid w:val="00777014"/>
    <w:rsid w:val="0077730B"/>
    <w:rsid w:val="007777CC"/>
    <w:rsid w:val="00777C21"/>
    <w:rsid w:val="00777E2D"/>
    <w:rsid w:val="007802C7"/>
    <w:rsid w:val="00780376"/>
    <w:rsid w:val="00781267"/>
    <w:rsid w:val="007813CA"/>
    <w:rsid w:val="00781848"/>
    <w:rsid w:val="00781EC1"/>
    <w:rsid w:val="0078214B"/>
    <w:rsid w:val="007831EA"/>
    <w:rsid w:val="0078348C"/>
    <w:rsid w:val="00783782"/>
    <w:rsid w:val="007837B4"/>
    <w:rsid w:val="0078397E"/>
    <w:rsid w:val="007839D6"/>
    <w:rsid w:val="00783EAE"/>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2894"/>
    <w:rsid w:val="00792B08"/>
    <w:rsid w:val="007933E9"/>
    <w:rsid w:val="007935F0"/>
    <w:rsid w:val="00793BFB"/>
    <w:rsid w:val="00793D57"/>
    <w:rsid w:val="007940A8"/>
    <w:rsid w:val="0079494D"/>
    <w:rsid w:val="007949E6"/>
    <w:rsid w:val="00794BC4"/>
    <w:rsid w:val="00794E66"/>
    <w:rsid w:val="00794F63"/>
    <w:rsid w:val="00795619"/>
    <w:rsid w:val="00795765"/>
    <w:rsid w:val="0079612F"/>
    <w:rsid w:val="007967D0"/>
    <w:rsid w:val="0079689C"/>
    <w:rsid w:val="00796A50"/>
    <w:rsid w:val="00796D48"/>
    <w:rsid w:val="00797349"/>
    <w:rsid w:val="007973B6"/>
    <w:rsid w:val="00797490"/>
    <w:rsid w:val="0079768A"/>
    <w:rsid w:val="00797A06"/>
    <w:rsid w:val="00797AC3"/>
    <w:rsid w:val="00797F3B"/>
    <w:rsid w:val="007A01BB"/>
    <w:rsid w:val="007A03A4"/>
    <w:rsid w:val="007A0AD4"/>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528B"/>
    <w:rsid w:val="007A55C1"/>
    <w:rsid w:val="007A5A3F"/>
    <w:rsid w:val="007A5A4E"/>
    <w:rsid w:val="007A5EC1"/>
    <w:rsid w:val="007A6802"/>
    <w:rsid w:val="007A6C56"/>
    <w:rsid w:val="007A6F4B"/>
    <w:rsid w:val="007A7961"/>
    <w:rsid w:val="007A7BB0"/>
    <w:rsid w:val="007A7C51"/>
    <w:rsid w:val="007A7C77"/>
    <w:rsid w:val="007B002F"/>
    <w:rsid w:val="007B0089"/>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40CA"/>
    <w:rsid w:val="007B46ED"/>
    <w:rsid w:val="007B483E"/>
    <w:rsid w:val="007B50AD"/>
    <w:rsid w:val="007B51FD"/>
    <w:rsid w:val="007B5741"/>
    <w:rsid w:val="007B5810"/>
    <w:rsid w:val="007B5A9D"/>
    <w:rsid w:val="007B5C49"/>
    <w:rsid w:val="007B5E3B"/>
    <w:rsid w:val="007B65DF"/>
    <w:rsid w:val="007B690E"/>
    <w:rsid w:val="007B69C1"/>
    <w:rsid w:val="007B6D5F"/>
    <w:rsid w:val="007B7155"/>
    <w:rsid w:val="007B74F6"/>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25D4"/>
    <w:rsid w:val="007C29D3"/>
    <w:rsid w:val="007C2AB2"/>
    <w:rsid w:val="007C2E2D"/>
    <w:rsid w:val="007C30A6"/>
    <w:rsid w:val="007C30F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F42"/>
    <w:rsid w:val="007C70FC"/>
    <w:rsid w:val="007C7131"/>
    <w:rsid w:val="007C771A"/>
    <w:rsid w:val="007C7B2C"/>
    <w:rsid w:val="007C7BFF"/>
    <w:rsid w:val="007D01AC"/>
    <w:rsid w:val="007D02C1"/>
    <w:rsid w:val="007D07D1"/>
    <w:rsid w:val="007D0BB5"/>
    <w:rsid w:val="007D0FF7"/>
    <w:rsid w:val="007D18A3"/>
    <w:rsid w:val="007D1B50"/>
    <w:rsid w:val="007D1BBD"/>
    <w:rsid w:val="007D1D59"/>
    <w:rsid w:val="007D1E93"/>
    <w:rsid w:val="007D1EA9"/>
    <w:rsid w:val="007D1FE8"/>
    <w:rsid w:val="007D2351"/>
    <w:rsid w:val="007D24EB"/>
    <w:rsid w:val="007D2507"/>
    <w:rsid w:val="007D25BE"/>
    <w:rsid w:val="007D2746"/>
    <w:rsid w:val="007D298D"/>
    <w:rsid w:val="007D2C35"/>
    <w:rsid w:val="007D2D5A"/>
    <w:rsid w:val="007D34F8"/>
    <w:rsid w:val="007D35F2"/>
    <w:rsid w:val="007D37FF"/>
    <w:rsid w:val="007D3B20"/>
    <w:rsid w:val="007D3DF3"/>
    <w:rsid w:val="007D4258"/>
    <w:rsid w:val="007D42A1"/>
    <w:rsid w:val="007D4421"/>
    <w:rsid w:val="007D4616"/>
    <w:rsid w:val="007D5120"/>
    <w:rsid w:val="007D513A"/>
    <w:rsid w:val="007D5417"/>
    <w:rsid w:val="007D55F9"/>
    <w:rsid w:val="007D55FC"/>
    <w:rsid w:val="007D5629"/>
    <w:rsid w:val="007D5AD0"/>
    <w:rsid w:val="007D5CAB"/>
    <w:rsid w:val="007D5DEA"/>
    <w:rsid w:val="007D6972"/>
    <w:rsid w:val="007D6A69"/>
    <w:rsid w:val="007D6AD7"/>
    <w:rsid w:val="007D6EDA"/>
    <w:rsid w:val="007D7E79"/>
    <w:rsid w:val="007E0209"/>
    <w:rsid w:val="007E04BD"/>
    <w:rsid w:val="007E06DB"/>
    <w:rsid w:val="007E0851"/>
    <w:rsid w:val="007E0D7B"/>
    <w:rsid w:val="007E11C6"/>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8004EC"/>
    <w:rsid w:val="008009FF"/>
    <w:rsid w:val="00801148"/>
    <w:rsid w:val="008013ED"/>
    <w:rsid w:val="00801D96"/>
    <w:rsid w:val="0080208F"/>
    <w:rsid w:val="008020CC"/>
    <w:rsid w:val="008031B0"/>
    <w:rsid w:val="008036CF"/>
    <w:rsid w:val="00803AA7"/>
    <w:rsid w:val="00804570"/>
    <w:rsid w:val="00804823"/>
    <w:rsid w:val="00804D18"/>
    <w:rsid w:val="00804ECF"/>
    <w:rsid w:val="0080500A"/>
    <w:rsid w:val="00805264"/>
    <w:rsid w:val="008052BA"/>
    <w:rsid w:val="00805ADB"/>
    <w:rsid w:val="00805BA4"/>
    <w:rsid w:val="00806229"/>
    <w:rsid w:val="008062B8"/>
    <w:rsid w:val="00806852"/>
    <w:rsid w:val="00806A58"/>
    <w:rsid w:val="008074A3"/>
    <w:rsid w:val="008074B5"/>
    <w:rsid w:val="0080752C"/>
    <w:rsid w:val="0080787F"/>
    <w:rsid w:val="00807ADB"/>
    <w:rsid w:val="00807B1F"/>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8EB"/>
    <w:rsid w:val="00813AA9"/>
    <w:rsid w:val="00813E9D"/>
    <w:rsid w:val="0081449E"/>
    <w:rsid w:val="00814B3C"/>
    <w:rsid w:val="00815060"/>
    <w:rsid w:val="00815254"/>
    <w:rsid w:val="008153B1"/>
    <w:rsid w:val="0081582D"/>
    <w:rsid w:val="00815A2A"/>
    <w:rsid w:val="0081773C"/>
    <w:rsid w:val="008177EC"/>
    <w:rsid w:val="00817DA3"/>
    <w:rsid w:val="0082002E"/>
    <w:rsid w:val="008201FB"/>
    <w:rsid w:val="0082054C"/>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94"/>
    <w:rsid w:val="00826BA9"/>
    <w:rsid w:val="00827004"/>
    <w:rsid w:val="0082751D"/>
    <w:rsid w:val="00827936"/>
    <w:rsid w:val="00827C76"/>
    <w:rsid w:val="00830527"/>
    <w:rsid w:val="008306C0"/>
    <w:rsid w:val="00830F84"/>
    <w:rsid w:val="0083153B"/>
    <w:rsid w:val="00831584"/>
    <w:rsid w:val="008315B6"/>
    <w:rsid w:val="00831A2E"/>
    <w:rsid w:val="008324E0"/>
    <w:rsid w:val="00832510"/>
    <w:rsid w:val="00832B39"/>
    <w:rsid w:val="00832C35"/>
    <w:rsid w:val="00832E49"/>
    <w:rsid w:val="00833D4C"/>
    <w:rsid w:val="0083463C"/>
    <w:rsid w:val="00834863"/>
    <w:rsid w:val="00834BA0"/>
    <w:rsid w:val="00834CBC"/>
    <w:rsid w:val="00834EAD"/>
    <w:rsid w:val="008353D3"/>
    <w:rsid w:val="0083588A"/>
    <w:rsid w:val="00835F60"/>
    <w:rsid w:val="00836263"/>
    <w:rsid w:val="008366E4"/>
    <w:rsid w:val="008369D3"/>
    <w:rsid w:val="008374DB"/>
    <w:rsid w:val="0083755D"/>
    <w:rsid w:val="00837736"/>
    <w:rsid w:val="0083776F"/>
    <w:rsid w:val="00837AF1"/>
    <w:rsid w:val="00837E93"/>
    <w:rsid w:val="0084006A"/>
    <w:rsid w:val="00840500"/>
    <w:rsid w:val="00840C8D"/>
    <w:rsid w:val="00840D92"/>
    <w:rsid w:val="00840ED2"/>
    <w:rsid w:val="00840F0E"/>
    <w:rsid w:val="008417B6"/>
    <w:rsid w:val="00841DB2"/>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F3E"/>
    <w:rsid w:val="00845277"/>
    <w:rsid w:val="0084528A"/>
    <w:rsid w:val="00845D7E"/>
    <w:rsid w:val="0084666B"/>
    <w:rsid w:val="00846B0A"/>
    <w:rsid w:val="00847073"/>
    <w:rsid w:val="00847996"/>
    <w:rsid w:val="00847AD2"/>
    <w:rsid w:val="00847B8A"/>
    <w:rsid w:val="00847C54"/>
    <w:rsid w:val="00847FBC"/>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B7E"/>
    <w:rsid w:val="00854D40"/>
    <w:rsid w:val="008551D9"/>
    <w:rsid w:val="00855420"/>
    <w:rsid w:val="0085547B"/>
    <w:rsid w:val="008554F0"/>
    <w:rsid w:val="00855D91"/>
    <w:rsid w:val="00855E65"/>
    <w:rsid w:val="00855E79"/>
    <w:rsid w:val="008561F9"/>
    <w:rsid w:val="0085634F"/>
    <w:rsid w:val="00856447"/>
    <w:rsid w:val="00856B38"/>
    <w:rsid w:val="0085713A"/>
    <w:rsid w:val="00857441"/>
    <w:rsid w:val="0085785A"/>
    <w:rsid w:val="00857A38"/>
    <w:rsid w:val="00857F48"/>
    <w:rsid w:val="00860214"/>
    <w:rsid w:val="00860637"/>
    <w:rsid w:val="0086094D"/>
    <w:rsid w:val="0086162A"/>
    <w:rsid w:val="0086175D"/>
    <w:rsid w:val="00861904"/>
    <w:rsid w:val="00861B55"/>
    <w:rsid w:val="00861FB9"/>
    <w:rsid w:val="00862725"/>
    <w:rsid w:val="008628CE"/>
    <w:rsid w:val="00862912"/>
    <w:rsid w:val="00862D52"/>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A7F"/>
    <w:rsid w:val="0087154C"/>
    <w:rsid w:val="00871673"/>
    <w:rsid w:val="00871D0F"/>
    <w:rsid w:val="008725FD"/>
    <w:rsid w:val="00872969"/>
    <w:rsid w:val="00872A1D"/>
    <w:rsid w:val="00872B46"/>
    <w:rsid w:val="00872D04"/>
    <w:rsid w:val="00872DB9"/>
    <w:rsid w:val="00872EA7"/>
    <w:rsid w:val="00872FA9"/>
    <w:rsid w:val="00873108"/>
    <w:rsid w:val="00873208"/>
    <w:rsid w:val="008732BB"/>
    <w:rsid w:val="008740E2"/>
    <w:rsid w:val="0087487C"/>
    <w:rsid w:val="0087487E"/>
    <w:rsid w:val="00874CF8"/>
    <w:rsid w:val="00874D47"/>
    <w:rsid w:val="00874F16"/>
    <w:rsid w:val="0087584F"/>
    <w:rsid w:val="008760D6"/>
    <w:rsid w:val="008762A4"/>
    <w:rsid w:val="00876551"/>
    <w:rsid w:val="008769AD"/>
    <w:rsid w:val="00876B94"/>
    <w:rsid w:val="00876CC1"/>
    <w:rsid w:val="00876D08"/>
    <w:rsid w:val="00876F06"/>
    <w:rsid w:val="00877CC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21D"/>
    <w:rsid w:val="008846C6"/>
    <w:rsid w:val="00884A66"/>
    <w:rsid w:val="0088505A"/>
    <w:rsid w:val="0088522D"/>
    <w:rsid w:val="008858DC"/>
    <w:rsid w:val="00885EF0"/>
    <w:rsid w:val="00886071"/>
    <w:rsid w:val="008865DB"/>
    <w:rsid w:val="00886950"/>
    <w:rsid w:val="008869B5"/>
    <w:rsid w:val="00886E60"/>
    <w:rsid w:val="00887A8D"/>
    <w:rsid w:val="008900C1"/>
    <w:rsid w:val="00890DB1"/>
    <w:rsid w:val="00891623"/>
    <w:rsid w:val="008917AD"/>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76C"/>
    <w:rsid w:val="00895B95"/>
    <w:rsid w:val="00896BEF"/>
    <w:rsid w:val="008972EF"/>
    <w:rsid w:val="00897489"/>
    <w:rsid w:val="00897684"/>
    <w:rsid w:val="008976B4"/>
    <w:rsid w:val="00897B01"/>
    <w:rsid w:val="00897F0D"/>
    <w:rsid w:val="008A06DA"/>
    <w:rsid w:val="008A0C6C"/>
    <w:rsid w:val="008A0E5E"/>
    <w:rsid w:val="008A1450"/>
    <w:rsid w:val="008A1C07"/>
    <w:rsid w:val="008A1DE8"/>
    <w:rsid w:val="008A2028"/>
    <w:rsid w:val="008A2129"/>
    <w:rsid w:val="008A2659"/>
    <w:rsid w:val="008A27DB"/>
    <w:rsid w:val="008A288C"/>
    <w:rsid w:val="008A3518"/>
    <w:rsid w:val="008A39ED"/>
    <w:rsid w:val="008A40BD"/>
    <w:rsid w:val="008A46C2"/>
    <w:rsid w:val="008A4DBF"/>
    <w:rsid w:val="008A50E5"/>
    <w:rsid w:val="008A5159"/>
    <w:rsid w:val="008A54B7"/>
    <w:rsid w:val="008A56D4"/>
    <w:rsid w:val="008A5823"/>
    <w:rsid w:val="008A61F9"/>
    <w:rsid w:val="008A64FC"/>
    <w:rsid w:val="008A65E5"/>
    <w:rsid w:val="008A701E"/>
    <w:rsid w:val="008A7BC3"/>
    <w:rsid w:val="008A7CF3"/>
    <w:rsid w:val="008B0772"/>
    <w:rsid w:val="008B0924"/>
    <w:rsid w:val="008B0B0A"/>
    <w:rsid w:val="008B0B27"/>
    <w:rsid w:val="008B0BFA"/>
    <w:rsid w:val="008B0DEE"/>
    <w:rsid w:val="008B0F83"/>
    <w:rsid w:val="008B0FC0"/>
    <w:rsid w:val="008B1224"/>
    <w:rsid w:val="008B1520"/>
    <w:rsid w:val="008B1565"/>
    <w:rsid w:val="008B19EB"/>
    <w:rsid w:val="008B1C10"/>
    <w:rsid w:val="008B1FCF"/>
    <w:rsid w:val="008B2383"/>
    <w:rsid w:val="008B241D"/>
    <w:rsid w:val="008B29F8"/>
    <w:rsid w:val="008B2A31"/>
    <w:rsid w:val="008B2C4D"/>
    <w:rsid w:val="008B2E0C"/>
    <w:rsid w:val="008B3101"/>
    <w:rsid w:val="008B357D"/>
    <w:rsid w:val="008B38FA"/>
    <w:rsid w:val="008B3C11"/>
    <w:rsid w:val="008B3DD6"/>
    <w:rsid w:val="008B3E11"/>
    <w:rsid w:val="008B3E49"/>
    <w:rsid w:val="008B452C"/>
    <w:rsid w:val="008B46CD"/>
    <w:rsid w:val="008B4CB7"/>
    <w:rsid w:val="008B4E54"/>
    <w:rsid w:val="008B51FC"/>
    <w:rsid w:val="008B5359"/>
    <w:rsid w:val="008B5A71"/>
    <w:rsid w:val="008B5E00"/>
    <w:rsid w:val="008B6744"/>
    <w:rsid w:val="008B6CD0"/>
    <w:rsid w:val="008B7230"/>
    <w:rsid w:val="008B7308"/>
    <w:rsid w:val="008B775E"/>
    <w:rsid w:val="008B77E4"/>
    <w:rsid w:val="008B7846"/>
    <w:rsid w:val="008B7ECC"/>
    <w:rsid w:val="008C030C"/>
    <w:rsid w:val="008C0501"/>
    <w:rsid w:val="008C0934"/>
    <w:rsid w:val="008C0A4B"/>
    <w:rsid w:val="008C0AED"/>
    <w:rsid w:val="008C0BF3"/>
    <w:rsid w:val="008C1007"/>
    <w:rsid w:val="008C1840"/>
    <w:rsid w:val="008C1AA6"/>
    <w:rsid w:val="008C1CEC"/>
    <w:rsid w:val="008C1D08"/>
    <w:rsid w:val="008C22C8"/>
    <w:rsid w:val="008C22D3"/>
    <w:rsid w:val="008C22DE"/>
    <w:rsid w:val="008C22E8"/>
    <w:rsid w:val="008C2542"/>
    <w:rsid w:val="008C2705"/>
    <w:rsid w:val="008C2729"/>
    <w:rsid w:val="008C2C6E"/>
    <w:rsid w:val="008C2E7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D63"/>
    <w:rsid w:val="008D1128"/>
    <w:rsid w:val="008D1424"/>
    <w:rsid w:val="008D15FE"/>
    <w:rsid w:val="008D1CB4"/>
    <w:rsid w:val="008D1E57"/>
    <w:rsid w:val="008D219B"/>
    <w:rsid w:val="008D22C0"/>
    <w:rsid w:val="008D2996"/>
    <w:rsid w:val="008D2A43"/>
    <w:rsid w:val="008D2C12"/>
    <w:rsid w:val="008D2C33"/>
    <w:rsid w:val="008D30EC"/>
    <w:rsid w:val="008D3175"/>
    <w:rsid w:val="008D3241"/>
    <w:rsid w:val="008D32D9"/>
    <w:rsid w:val="008D3307"/>
    <w:rsid w:val="008D3718"/>
    <w:rsid w:val="008D3EAC"/>
    <w:rsid w:val="008D4066"/>
    <w:rsid w:val="008D40D4"/>
    <w:rsid w:val="008D51F0"/>
    <w:rsid w:val="008D5490"/>
    <w:rsid w:val="008D55AA"/>
    <w:rsid w:val="008D5867"/>
    <w:rsid w:val="008D6173"/>
    <w:rsid w:val="008D621E"/>
    <w:rsid w:val="008D70EB"/>
    <w:rsid w:val="008E0616"/>
    <w:rsid w:val="008E0947"/>
    <w:rsid w:val="008E0D7A"/>
    <w:rsid w:val="008E0D7F"/>
    <w:rsid w:val="008E12C8"/>
    <w:rsid w:val="008E2296"/>
    <w:rsid w:val="008E2529"/>
    <w:rsid w:val="008E27CE"/>
    <w:rsid w:val="008E29B7"/>
    <w:rsid w:val="008E29B9"/>
    <w:rsid w:val="008E2CB9"/>
    <w:rsid w:val="008E3AE2"/>
    <w:rsid w:val="008E41C2"/>
    <w:rsid w:val="008E41EC"/>
    <w:rsid w:val="008E437A"/>
    <w:rsid w:val="008E4509"/>
    <w:rsid w:val="008E5747"/>
    <w:rsid w:val="008E58DD"/>
    <w:rsid w:val="008E5BD1"/>
    <w:rsid w:val="008E5BF8"/>
    <w:rsid w:val="008E5DFC"/>
    <w:rsid w:val="008E607E"/>
    <w:rsid w:val="008E650A"/>
    <w:rsid w:val="008E65CB"/>
    <w:rsid w:val="008E6A37"/>
    <w:rsid w:val="008E6A5B"/>
    <w:rsid w:val="008E7435"/>
    <w:rsid w:val="008E765E"/>
    <w:rsid w:val="008E78E8"/>
    <w:rsid w:val="008E7EE7"/>
    <w:rsid w:val="008E7F27"/>
    <w:rsid w:val="008F0134"/>
    <w:rsid w:val="008F01FE"/>
    <w:rsid w:val="008F044D"/>
    <w:rsid w:val="008F079A"/>
    <w:rsid w:val="008F07E2"/>
    <w:rsid w:val="008F0813"/>
    <w:rsid w:val="008F0884"/>
    <w:rsid w:val="008F0BF2"/>
    <w:rsid w:val="008F0E23"/>
    <w:rsid w:val="008F0F6A"/>
    <w:rsid w:val="008F1897"/>
    <w:rsid w:val="008F19CB"/>
    <w:rsid w:val="008F1CCC"/>
    <w:rsid w:val="008F293D"/>
    <w:rsid w:val="008F2949"/>
    <w:rsid w:val="008F2E56"/>
    <w:rsid w:val="008F3112"/>
    <w:rsid w:val="008F3263"/>
    <w:rsid w:val="008F32F0"/>
    <w:rsid w:val="008F3BC0"/>
    <w:rsid w:val="008F4354"/>
    <w:rsid w:val="008F437C"/>
    <w:rsid w:val="008F438E"/>
    <w:rsid w:val="008F48B7"/>
    <w:rsid w:val="008F4DD0"/>
    <w:rsid w:val="008F4EB9"/>
    <w:rsid w:val="008F5453"/>
    <w:rsid w:val="008F5EC0"/>
    <w:rsid w:val="008F5ED5"/>
    <w:rsid w:val="008F65A8"/>
    <w:rsid w:val="008F65F3"/>
    <w:rsid w:val="008F6E96"/>
    <w:rsid w:val="008F725B"/>
    <w:rsid w:val="008F7BC4"/>
    <w:rsid w:val="008F7CD9"/>
    <w:rsid w:val="008F7ED1"/>
    <w:rsid w:val="00900888"/>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A7E"/>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F40"/>
    <w:rsid w:val="009210E7"/>
    <w:rsid w:val="00921A65"/>
    <w:rsid w:val="00921EAA"/>
    <w:rsid w:val="00921FBF"/>
    <w:rsid w:val="009221CA"/>
    <w:rsid w:val="00922416"/>
    <w:rsid w:val="00922AEE"/>
    <w:rsid w:val="00922B5E"/>
    <w:rsid w:val="00922D37"/>
    <w:rsid w:val="00922FBA"/>
    <w:rsid w:val="0092302F"/>
    <w:rsid w:val="009232F0"/>
    <w:rsid w:val="00923B68"/>
    <w:rsid w:val="00923D06"/>
    <w:rsid w:val="00924918"/>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2623"/>
    <w:rsid w:val="00932A78"/>
    <w:rsid w:val="00932BD4"/>
    <w:rsid w:val="00932F5C"/>
    <w:rsid w:val="00933090"/>
    <w:rsid w:val="009331CB"/>
    <w:rsid w:val="00933344"/>
    <w:rsid w:val="009334C2"/>
    <w:rsid w:val="00934060"/>
    <w:rsid w:val="00934237"/>
    <w:rsid w:val="00934427"/>
    <w:rsid w:val="00934D69"/>
    <w:rsid w:val="00934D6A"/>
    <w:rsid w:val="00935696"/>
    <w:rsid w:val="0093582E"/>
    <w:rsid w:val="00935FAB"/>
    <w:rsid w:val="009364A8"/>
    <w:rsid w:val="009367C3"/>
    <w:rsid w:val="0093690D"/>
    <w:rsid w:val="0093785A"/>
    <w:rsid w:val="009378F1"/>
    <w:rsid w:val="00937B42"/>
    <w:rsid w:val="00937B56"/>
    <w:rsid w:val="00937E7A"/>
    <w:rsid w:val="00937E84"/>
    <w:rsid w:val="009406BB"/>
    <w:rsid w:val="00940700"/>
    <w:rsid w:val="009407A0"/>
    <w:rsid w:val="00940813"/>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53"/>
    <w:rsid w:val="009441FD"/>
    <w:rsid w:val="0094431E"/>
    <w:rsid w:val="00944692"/>
    <w:rsid w:val="00944887"/>
    <w:rsid w:val="009449E4"/>
    <w:rsid w:val="00944A8F"/>
    <w:rsid w:val="00944CDB"/>
    <w:rsid w:val="00944EC8"/>
    <w:rsid w:val="009451C7"/>
    <w:rsid w:val="0094543D"/>
    <w:rsid w:val="00945B6B"/>
    <w:rsid w:val="00945F49"/>
    <w:rsid w:val="00946209"/>
    <w:rsid w:val="0094658B"/>
    <w:rsid w:val="00946F74"/>
    <w:rsid w:val="0094701C"/>
    <w:rsid w:val="00947135"/>
    <w:rsid w:val="009471A0"/>
    <w:rsid w:val="00947230"/>
    <w:rsid w:val="009472CA"/>
    <w:rsid w:val="00951292"/>
    <w:rsid w:val="00951D39"/>
    <w:rsid w:val="009520CF"/>
    <w:rsid w:val="00952379"/>
    <w:rsid w:val="0095244A"/>
    <w:rsid w:val="00952559"/>
    <w:rsid w:val="0095268F"/>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AA"/>
    <w:rsid w:val="00963C63"/>
    <w:rsid w:val="00964053"/>
    <w:rsid w:val="009643E5"/>
    <w:rsid w:val="0096512F"/>
    <w:rsid w:val="0096549E"/>
    <w:rsid w:val="009658E5"/>
    <w:rsid w:val="00965CA3"/>
    <w:rsid w:val="00965FB4"/>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1C1"/>
    <w:rsid w:val="009749F9"/>
    <w:rsid w:val="00974E0E"/>
    <w:rsid w:val="00974E18"/>
    <w:rsid w:val="00975634"/>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2046"/>
    <w:rsid w:val="009821A0"/>
    <w:rsid w:val="0098260B"/>
    <w:rsid w:val="009833B8"/>
    <w:rsid w:val="00983578"/>
    <w:rsid w:val="0098364B"/>
    <w:rsid w:val="00983683"/>
    <w:rsid w:val="0098372F"/>
    <w:rsid w:val="0098398F"/>
    <w:rsid w:val="00983B38"/>
    <w:rsid w:val="00983F4D"/>
    <w:rsid w:val="009847DF"/>
    <w:rsid w:val="009854F3"/>
    <w:rsid w:val="009870B3"/>
    <w:rsid w:val="00987778"/>
    <w:rsid w:val="009878B9"/>
    <w:rsid w:val="00987997"/>
    <w:rsid w:val="00987A6F"/>
    <w:rsid w:val="0099008B"/>
    <w:rsid w:val="009902A5"/>
    <w:rsid w:val="00990AE5"/>
    <w:rsid w:val="00990B66"/>
    <w:rsid w:val="00990F47"/>
    <w:rsid w:val="0099130C"/>
    <w:rsid w:val="00991B31"/>
    <w:rsid w:val="0099210B"/>
    <w:rsid w:val="00992325"/>
    <w:rsid w:val="009928A5"/>
    <w:rsid w:val="00992A65"/>
    <w:rsid w:val="00992A9B"/>
    <w:rsid w:val="00992B71"/>
    <w:rsid w:val="00992E5A"/>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9DC"/>
    <w:rsid w:val="00995C9F"/>
    <w:rsid w:val="00996150"/>
    <w:rsid w:val="00996310"/>
    <w:rsid w:val="0099662F"/>
    <w:rsid w:val="00996A3E"/>
    <w:rsid w:val="00996C19"/>
    <w:rsid w:val="00996CF5"/>
    <w:rsid w:val="00997144"/>
    <w:rsid w:val="00997D19"/>
    <w:rsid w:val="00997D8A"/>
    <w:rsid w:val="00997FB1"/>
    <w:rsid w:val="009A0192"/>
    <w:rsid w:val="009A0628"/>
    <w:rsid w:val="009A0741"/>
    <w:rsid w:val="009A096B"/>
    <w:rsid w:val="009A0A79"/>
    <w:rsid w:val="009A0D24"/>
    <w:rsid w:val="009A1091"/>
    <w:rsid w:val="009A158E"/>
    <w:rsid w:val="009A1F7B"/>
    <w:rsid w:val="009A2327"/>
    <w:rsid w:val="009A33EF"/>
    <w:rsid w:val="009A3AAC"/>
    <w:rsid w:val="009A3C03"/>
    <w:rsid w:val="009A4010"/>
    <w:rsid w:val="009A40E7"/>
    <w:rsid w:val="009A44AE"/>
    <w:rsid w:val="009A4D4E"/>
    <w:rsid w:val="009A4F43"/>
    <w:rsid w:val="009A507A"/>
    <w:rsid w:val="009A53E7"/>
    <w:rsid w:val="009A5F2B"/>
    <w:rsid w:val="009A6088"/>
    <w:rsid w:val="009A644E"/>
    <w:rsid w:val="009A6682"/>
    <w:rsid w:val="009A6E13"/>
    <w:rsid w:val="009A6F14"/>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B67"/>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4E2"/>
    <w:rsid w:val="009C2A6F"/>
    <w:rsid w:val="009C2F3A"/>
    <w:rsid w:val="009C361C"/>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92D"/>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3018"/>
    <w:rsid w:val="009D3081"/>
    <w:rsid w:val="009D36A8"/>
    <w:rsid w:val="009D36B8"/>
    <w:rsid w:val="009D3A84"/>
    <w:rsid w:val="009D43BD"/>
    <w:rsid w:val="009D4425"/>
    <w:rsid w:val="009D4FD3"/>
    <w:rsid w:val="009D51BB"/>
    <w:rsid w:val="009D571A"/>
    <w:rsid w:val="009D5D3A"/>
    <w:rsid w:val="009D6693"/>
    <w:rsid w:val="009D6C61"/>
    <w:rsid w:val="009D6F55"/>
    <w:rsid w:val="009D7804"/>
    <w:rsid w:val="009D7EA3"/>
    <w:rsid w:val="009D7F92"/>
    <w:rsid w:val="009E027B"/>
    <w:rsid w:val="009E04F1"/>
    <w:rsid w:val="009E0E8F"/>
    <w:rsid w:val="009E0FCA"/>
    <w:rsid w:val="009E1184"/>
    <w:rsid w:val="009E126C"/>
    <w:rsid w:val="009E1367"/>
    <w:rsid w:val="009E1D8C"/>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E18"/>
    <w:rsid w:val="009E7E53"/>
    <w:rsid w:val="009F0850"/>
    <w:rsid w:val="009F1627"/>
    <w:rsid w:val="009F21A6"/>
    <w:rsid w:val="009F24CB"/>
    <w:rsid w:val="009F2549"/>
    <w:rsid w:val="009F29CA"/>
    <w:rsid w:val="009F2A42"/>
    <w:rsid w:val="009F2BFC"/>
    <w:rsid w:val="009F2C20"/>
    <w:rsid w:val="009F31A3"/>
    <w:rsid w:val="009F34E6"/>
    <w:rsid w:val="009F38A8"/>
    <w:rsid w:val="009F3F68"/>
    <w:rsid w:val="009F49F8"/>
    <w:rsid w:val="009F4C01"/>
    <w:rsid w:val="009F4C82"/>
    <w:rsid w:val="009F4F6E"/>
    <w:rsid w:val="009F516B"/>
    <w:rsid w:val="009F5801"/>
    <w:rsid w:val="009F59D7"/>
    <w:rsid w:val="009F5AB0"/>
    <w:rsid w:val="009F69B5"/>
    <w:rsid w:val="009F6A78"/>
    <w:rsid w:val="009F6F7D"/>
    <w:rsid w:val="009F7511"/>
    <w:rsid w:val="009F7745"/>
    <w:rsid w:val="009F7746"/>
    <w:rsid w:val="009F7EA5"/>
    <w:rsid w:val="00A000BF"/>
    <w:rsid w:val="00A0011A"/>
    <w:rsid w:val="00A00346"/>
    <w:rsid w:val="00A00657"/>
    <w:rsid w:val="00A008D6"/>
    <w:rsid w:val="00A0107A"/>
    <w:rsid w:val="00A014B3"/>
    <w:rsid w:val="00A01600"/>
    <w:rsid w:val="00A01671"/>
    <w:rsid w:val="00A01F8C"/>
    <w:rsid w:val="00A01FD6"/>
    <w:rsid w:val="00A021B8"/>
    <w:rsid w:val="00A025DB"/>
    <w:rsid w:val="00A027CE"/>
    <w:rsid w:val="00A02C5E"/>
    <w:rsid w:val="00A02F4B"/>
    <w:rsid w:val="00A02FDC"/>
    <w:rsid w:val="00A0338B"/>
    <w:rsid w:val="00A035CC"/>
    <w:rsid w:val="00A0375A"/>
    <w:rsid w:val="00A04036"/>
    <w:rsid w:val="00A04E1A"/>
    <w:rsid w:val="00A04E7D"/>
    <w:rsid w:val="00A05493"/>
    <w:rsid w:val="00A056DD"/>
    <w:rsid w:val="00A0615A"/>
    <w:rsid w:val="00A06360"/>
    <w:rsid w:val="00A06379"/>
    <w:rsid w:val="00A06C2B"/>
    <w:rsid w:val="00A06C6B"/>
    <w:rsid w:val="00A06E24"/>
    <w:rsid w:val="00A07512"/>
    <w:rsid w:val="00A07626"/>
    <w:rsid w:val="00A07B85"/>
    <w:rsid w:val="00A07E69"/>
    <w:rsid w:val="00A107D3"/>
    <w:rsid w:val="00A113DC"/>
    <w:rsid w:val="00A11893"/>
    <w:rsid w:val="00A1195A"/>
    <w:rsid w:val="00A11A26"/>
    <w:rsid w:val="00A11B01"/>
    <w:rsid w:val="00A11B51"/>
    <w:rsid w:val="00A123FC"/>
    <w:rsid w:val="00A129B8"/>
    <w:rsid w:val="00A12CA9"/>
    <w:rsid w:val="00A12D04"/>
    <w:rsid w:val="00A134D7"/>
    <w:rsid w:val="00A13613"/>
    <w:rsid w:val="00A13725"/>
    <w:rsid w:val="00A13A5E"/>
    <w:rsid w:val="00A13B3C"/>
    <w:rsid w:val="00A13FFD"/>
    <w:rsid w:val="00A146E6"/>
    <w:rsid w:val="00A14C7C"/>
    <w:rsid w:val="00A1517B"/>
    <w:rsid w:val="00A1530E"/>
    <w:rsid w:val="00A156AE"/>
    <w:rsid w:val="00A159F2"/>
    <w:rsid w:val="00A159F9"/>
    <w:rsid w:val="00A15A66"/>
    <w:rsid w:val="00A15D7D"/>
    <w:rsid w:val="00A16401"/>
    <w:rsid w:val="00A1661F"/>
    <w:rsid w:val="00A168E0"/>
    <w:rsid w:val="00A1742D"/>
    <w:rsid w:val="00A17510"/>
    <w:rsid w:val="00A17640"/>
    <w:rsid w:val="00A1766E"/>
    <w:rsid w:val="00A17912"/>
    <w:rsid w:val="00A179E0"/>
    <w:rsid w:val="00A17A43"/>
    <w:rsid w:val="00A17D07"/>
    <w:rsid w:val="00A21439"/>
    <w:rsid w:val="00A215E7"/>
    <w:rsid w:val="00A22066"/>
    <w:rsid w:val="00A22169"/>
    <w:rsid w:val="00A2223B"/>
    <w:rsid w:val="00A22371"/>
    <w:rsid w:val="00A228E3"/>
    <w:rsid w:val="00A22BE1"/>
    <w:rsid w:val="00A22FEF"/>
    <w:rsid w:val="00A232A7"/>
    <w:rsid w:val="00A23425"/>
    <w:rsid w:val="00A235A1"/>
    <w:rsid w:val="00A23A9F"/>
    <w:rsid w:val="00A24B6C"/>
    <w:rsid w:val="00A253A0"/>
    <w:rsid w:val="00A255CC"/>
    <w:rsid w:val="00A2570E"/>
    <w:rsid w:val="00A258EF"/>
    <w:rsid w:val="00A25A42"/>
    <w:rsid w:val="00A25F3C"/>
    <w:rsid w:val="00A262C9"/>
    <w:rsid w:val="00A26620"/>
    <w:rsid w:val="00A26699"/>
    <w:rsid w:val="00A26A59"/>
    <w:rsid w:val="00A26B17"/>
    <w:rsid w:val="00A271B1"/>
    <w:rsid w:val="00A27307"/>
    <w:rsid w:val="00A27CCC"/>
    <w:rsid w:val="00A30063"/>
    <w:rsid w:val="00A301EE"/>
    <w:rsid w:val="00A311F0"/>
    <w:rsid w:val="00A31E02"/>
    <w:rsid w:val="00A3208E"/>
    <w:rsid w:val="00A32806"/>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D"/>
    <w:rsid w:val="00A3553E"/>
    <w:rsid w:val="00A3567D"/>
    <w:rsid w:val="00A3578B"/>
    <w:rsid w:val="00A35DBC"/>
    <w:rsid w:val="00A3647F"/>
    <w:rsid w:val="00A36622"/>
    <w:rsid w:val="00A36982"/>
    <w:rsid w:val="00A36D1A"/>
    <w:rsid w:val="00A372ED"/>
    <w:rsid w:val="00A374FC"/>
    <w:rsid w:val="00A37B3A"/>
    <w:rsid w:val="00A37CD8"/>
    <w:rsid w:val="00A37DAE"/>
    <w:rsid w:val="00A37EB7"/>
    <w:rsid w:val="00A4006B"/>
    <w:rsid w:val="00A401C7"/>
    <w:rsid w:val="00A401CC"/>
    <w:rsid w:val="00A40AE1"/>
    <w:rsid w:val="00A40DA1"/>
    <w:rsid w:val="00A42828"/>
    <w:rsid w:val="00A42AAD"/>
    <w:rsid w:val="00A42E71"/>
    <w:rsid w:val="00A43B3B"/>
    <w:rsid w:val="00A440B8"/>
    <w:rsid w:val="00A44BAF"/>
    <w:rsid w:val="00A44FCD"/>
    <w:rsid w:val="00A44FDB"/>
    <w:rsid w:val="00A455F6"/>
    <w:rsid w:val="00A456A6"/>
    <w:rsid w:val="00A4570A"/>
    <w:rsid w:val="00A45C74"/>
    <w:rsid w:val="00A470A9"/>
    <w:rsid w:val="00A47D62"/>
    <w:rsid w:val="00A47F44"/>
    <w:rsid w:val="00A507D1"/>
    <w:rsid w:val="00A50F36"/>
    <w:rsid w:val="00A51025"/>
    <w:rsid w:val="00A51420"/>
    <w:rsid w:val="00A5178C"/>
    <w:rsid w:val="00A51983"/>
    <w:rsid w:val="00A51A2C"/>
    <w:rsid w:val="00A51B19"/>
    <w:rsid w:val="00A51CD1"/>
    <w:rsid w:val="00A52256"/>
    <w:rsid w:val="00A52B2E"/>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6E"/>
    <w:rsid w:val="00A560F1"/>
    <w:rsid w:val="00A56D11"/>
    <w:rsid w:val="00A57138"/>
    <w:rsid w:val="00A571E5"/>
    <w:rsid w:val="00A57953"/>
    <w:rsid w:val="00A57EE6"/>
    <w:rsid w:val="00A60032"/>
    <w:rsid w:val="00A60104"/>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955"/>
    <w:rsid w:val="00A76CBF"/>
    <w:rsid w:val="00A7711B"/>
    <w:rsid w:val="00A772EF"/>
    <w:rsid w:val="00A77333"/>
    <w:rsid w:val="00A777A1"/>
    <w:rsid w:val="00A77A7C"/>
    <w:rsid w:val="00A77FD5"/>
    <w:rsid w:val="00A80262"/>
    <w:rsid w:val="00A8031D"/>
    <w:rsid w:val="00A804BC"/>
    <w:rsid w:val="00A80F2A"/>
    <w:rsid w:val="00A812B0"/>
    <w:rsid w:val="00A818C9"/>
    <w:rsid w:val="00A81A90"/>
    <w:rsid w:val="00A81B2F"/>
    <w:rsid w:val="00A81D3B"/>
    <w:rsid w:val="00A824E9"/>
    <w:rsid w:val="00A82706"/>
    <w:rsid w:val="00A827AF"/>
    <w:rsid w:val="00A82EBD"/>
    <w:rsid w:val="00A8343F"/>
    <w:rsid w:val="00A83639"/>
    <w:rsid w:val="00A83CAB"/>
    <w:rsid w:val="00A84651"/>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9F4"/>
    <w:rsid w:val="00A90BCC"/>
    <w:rsid w:val="00A90E8F"/>
    <w:rsid w:val="00A90E93"/>
    <w:rsid w:val="00A91018"/>
    <w:rsid w:val="00A915DA"/>
    <w:rsid w:val="00A91776"/>
    <w:rsid w:val="00A92813"/>
    <w:rsid w:val="00A93170"/>
    <w:rsid w:val="00A934AA"/>
    <w:rsid w:val="00A939F6"/>
    <w:rsid w:val="00A93ACF"/>
    <w:rsid w:val="00A94046"/>
    <w:rsid w:val="00A9405D"/>
    <w:rsid w:val="00A940E2"/>
    <w:rsid w:val="00A94AE5"/>
    <w:rsid w:val="00A94ED0"/>
    <w:rsid w:val="00A94EDB"/>
    <w:rsid w:val="00A9563F"/>
    <w:rsid w:val="00A95B8E"/>
    <w:rsid w:val="00A95EB5"/>
    <w:rsid w:val="00A95F3E"/>
    <w:rsid w:val="00A95F4A"/>
    <w:rsid w:val="00A9607A"/>
    <w:rsid w:val="00A963FA"/>
    <w:rsid w:val="00A96780"/>
    <w:rsid w:val="00A96926"/>
    <w:rsid w:val="00A96A55"/>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486"/>
    <w:rsid w:val="00AA2B02"/>
    <w:rsid w:val="00AA2EAC"/>
    <w:rsid w:val="00AA3320"/>
    <w:rsid w:val="00AA38FE"/>
    <w:rsid w:val="00AA402E"/>
    <w:rsid w:val="00AA4046"/>
    <w:rsid w:val="00AA408F"/>
    <w:rsid w:val="00AA5616"/>
    <w:rsid w:val="00AA567A"/>
    <w:rsid w:val="00AA5929"/>
    <w:rsid w:val="00AA5E84"/>
    <w:rsid w:val="00AA6037"/>
    <w:rsid w:val="00AA61DD"/>
    <w:rsid w:val="00AA6782"/>
    <w:rsid w:val="00AA67B9"/>
    <w:rsid w:val="00AA6AEA"/>
    <w:rsid w:val="00AA6D33"/>
    <w:rsid w:val="00AA7234"/>
    <w:rsid w:val="00AA75E2"/>
    <w:rsid w:val="00AA76CF"/>
    <w:rsid w:val="00AA7926"/>
    <w:rsid w:val="00AA7D1F"/>
    <w:rsid w:val="00AB1221"/>
    <w:rsid w:val="00AB1FC7"/>
    <w:rsid w:val="00AB2310"/>
    <w:rsid w:val="00AB26D1"/>
    <w:rsid w:val="00AB278F"/>
    <w:rsid w:val="00AB29ED"/>
    <w:rsid w:val="00AB3211"/>
    <w:rsid w:val="00AB3434"/>
    <w:rsid w:val="00AB35EA"/>
    <w:rsid w:val="00AB3859"/>
    <w:rsid w:val="00AB39A6"/>
    <w:rsid w:val="00AB3ADB"/>
    <w:rsid w:val="00AB3B0D"/>
    <w:rsid w:val="00AB3CA1"/>
    <w:rsid w:val="00AB47E7"/>
    <w:rsid w:val="00AB4B2B"/>
    <w:rsid w:val="00AB4F17"/>
    <w:rsid w:val="00AB504C"/>
    <w:rsid w:val="00AB5B53"/>
    <w:rsid w:val="00AB5FFE"/>
    <w:rsid w:val="00AB63C8"/>
    <w:rsid w:val="00AB6B37"/>
    <w:rsid w:val="00AB711D"/>
    <w:rsid w:val="00AB7763"/>
    <w:rsid w:val="00AB78AB"/>
    <w:rsid w:val="00AB7944"/>
    <w:rsid w:val="00AB7B13"/>
    <w:rsid w:val="00AB7F9D"/>
    <w:rsid w:val="00AC0754"/>
    <w:rsid w:val="00AC07BD"/>
    <w:rsid w:val="00AC0D28"/>
    <w:rsid w:val="00AC196D"/>
    <w:rsid w:val="00AC1CA8"/>
    <w:rsid w:val="00AC1EB4"/>
    <w:rsid w:val="00AC1ECF"/>
    <w:rsid w:val="00AC1F52"/>
    <w:rsid w:val="00AC209A"/>
    <w:rsid w:val="00AC2124"/>
    <w:rsid w:val="00AC2257"/>
    <w:rsid w:val="00AC2B61"/>
    <w:rsid w:val="00AC2CA4"/>
    <w:rsid w:val="00AC2D47"/>
    <w:rsid w:val="00AC3463"/>
    <w:rsid w:val="00AC35B9"/>
    <w:rsid w:val="00AC38BC"/>
    <w:rsid w:val="00AC3B4E"/>
    <w:rsid w:val="00AC3C1A"/>
    <w:rsid w:val="00AC3F0F"/>
    <w:rsid w:val="00AC40FC"/>
    <w:rsid w:val="00AC41E8"/>
    <w:rsid w:val="00AC475D"/>
    <w:rsid w:val="00AC4D5A"/>
    <w:rsid w:val="00AC4E5B"/>
    <w:rsid w:val="00AC537D"/>
    <w:rsid w:val="00AC537F"/>
    <w:rsid w:val="00AC5845"/>
    <w:rsid w:val="00AC5A22"/>
    <w:rsid w:val="00AC639A"/>
    <w:rsid w:val="00AC65D5"/>
    <w:rsid w:val="00AC6765"/>
    <w:rsid w:val="00AC68CF"/>
    <w:rsid w:val="00AC6A48"/>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20BC"/>
    <w:rsid w:val="00AD245D"/>
    <w:rsid w:val="00AD250E"/>
    <w:rsid w:val="00AD25F3"/>
    <w:rsid w:val="00AD2DB0"/>
    <w:rsid w:val="00AD2FB5"/>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BA6"/>
    <w:rsid w:val="00AD62E5"/>
    <w:rsid w:val="00AD6453"/>
    <w:rsid w:val="00AD68F9"/>
    <w:rsid w:val="00AD6A8D"/>
    <w:rsid w:val="00AD6C5A"/>
    <w:rsid w:val="00AD6F16"/>
    <w:rsid w:val="00AD7034"/>
    <w:rsid w:val="00AD7368"/>
    <w:rsid w:val="00AD7AD8"/>
    <w:rsid w:val="00AE0538"/>
    <w:rsid w:val="00AE0737"/>
    <w:rsid w:val="00AE0E11"/>
    <w:rsid w:val="00AE15C8"/>
    <w:rsid w:val="00AE1814"/>
    <w:rsid w:val="00AE19A5"/>
    <w:rsid w:val="00AE23BA"/>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F04B8"/>
    <w:rsid w:val="00AF09B0"/>
    <w:rsid w:val="00AF09B3"/>
    <w:rsid w:val="00AF13CF"/>
    <w:rsid w:val="00AF16FC"/>
    <w:rsid w:val="00AF1A1C"/>
    <w:rsid w:val="00AF1A8B"/>
    <w:rsid w:val="00AF1DE3"/>
    <w:rsid w:val="00AF1EEB"/>
    <w:rsid w:val="00AF212E"/>
    <w:rsid w:val="00AF2221"/>
    <w:rsid w:val="00AF2248"/>
    <w:rsid w:val="00AF23BF"/>
    <w:rsid w:val="00AF2637"/>
    <w:rsid w:val="00AF265B"/>
    <w:rsid w:val="00AF26C5"/>
    <w:rsid w:val="00AF2909"/>
    <w:rsid w:val="00AF3270"/>
    <w:rsid w:val="00AF3C74"/>
    <w:rsid w:val="00AF3E32"/>
    <w:rsid w:val="00AF3FBB"/>
    <w:rsid w:val="00AF46C3"/>
    <w:rsid w:val="00AF4974"/>
    <w:rsid w:val="00AF49E8"/>
    <w:rsid w:val="00AF4E4E"/>
    <w:rsid w:val="00AF51B4"/>
    <w:rsid w:val="00AF54F6"/>
    <w:rsid w:val="00AF59F4"/>
    <w:rsid w:val="00AF6044"/>
    <w:rsid w:val="00AF6056"/>
    <w:rsid w:val="00AF637F"/>
    <w:rsid w:val="00AF638E"/>
    <w:rsid w:val="00AF6577"/>
    <w:rsid w:val="00AF7895"/>
    <w:rsid w:val="00AF78DF"/>
    <w:rsid w:val="00AF7D0F"/>
    <w:rsid w:val="00AF7D56"/>
    <w:rsid w:val="00AF7F67"/>
    <w:rsid w:val="00B00991"/>
    <w:rsid w:val="00B00B79"/>
    <w:rsid w:val="00B00D76"/>
    <w:rsid w:val="00B01099"/>
    <w:rsid w:val="00B022B8"/>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5B"/>
    <w:rsid w:val="00B0748F"/>
    <w:rsid w:val="00B07587"/>
    <w:rsid w:val="00B07B79"/>
    <w:rsid w:val="00B07CE8"/>
    <w:rsid w:val="00B07E09"/>
    <w:rsid w:val="00B07E2E"/>
    <w:rsid w:val="00B07F15"/>
    <w:rsid w:val="00B10212"/>
    <w:rsid w:val="00B1135F"/>
    <w:rsid w:val="00B11517"/>
    <w:rsid w:val="00B1183C"/>
    <w:rsid w:val="00B11943"/>
    <w:rsid w:val="00B11BF7"/>
    <w:rsid w:val="00B11E6C"/>
    <w:rsid w:val="00B11FF5"/>
    <w:rsid w:val="00B125D6"/>
    <w:rsid w:val="00B12836"/>
    <w:rsid w:val="00B12E60"/>
    <w:rsid w:val="00B1324C"/>
    <w:rsid w:val="00B13252"/>
    <w:rsid w:val="00B13880"/>
    <w:rsid w:val="00B13BD6"/>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048"/>
    <w:rsid w:val="00B21726"/>
    <w:rsid w:val="00B218DC"/>
    <w:rsid w:val="00B21ED9"/>
    <w:rsid w:val="00B21FEF"/>
    <w:rsid w:val="00B2204E"/>
    <w:rsid w:val="00B2241E"/>
    <w:rsid w:val="00B2278D"/>
    <w:rsid w:val="00B22BE8"/>
    <w:rsid w:val="00B22D1E"/>
    <w:rsid w:val="00B23020"/>
    <w:rsid w:val="00B230B9"/>
    <w:rsid w:val="00B23FD8"/>
    <w:rsid w:val="00B24422"/>
    <w:rsid w:val="00B246BA"/>
    <w:rsid w:val="00B2495F"/>
    <w:rsid w:val="00B24FB6"/>
    <w:rsid w:val="00B25158"/>
    <w:rsid w:val="00B25CFB"/>
    <w:rsid w:val="00B2614A"/>
    <w:rsid w:val="00B27000"/>
    <w:rsid w:val="00B27263"/>
    <w:rsid w:val="00B27A12"/>
    <w:rsid w:val="00B27C0B"/>
    <w:rsid w:val="00B27D83"/>
    <w:rsid w:val="00B27D8A"/>
    <w:rsid w:val="00B27E92"/>
    <w:rsid w:val="00B304AB"/>
    <w:rsid w:val="00B30772"/>
    <w:rsid w:val="00B308E2"/>
    <w:rsid w:val="00B30CA7"/>
    <w:rsid w:val="00B30CFD"/>
    <w:rsid w:val="00B30E9C"/>
    <w:rsid w:val="00B311D7"/>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6098"/>
    <w:rsid w:val="00B36230"/>
    <w:rsid w:val="00B362DF"/>
    <w:rsid w:val="00B3651E"/>
    <w:rsid w:val="00B36DBA"/>
    <w:rsid w:val="00B36DF0"/>
    <w:rsid w:val="00B3789E"/>
    <w:rsid w:val="00B37C21"/>
    <w:rsid w:val="00B37C82"/>
    <w:rsid w:val="00B37DFE"/>
    <w:rsid w:val="00B404BF"/>
    <w:rsid w:val="00B4060E"/>
    <w:rsid w:val="00B407AD"/>
    <w:rsid w:val="00B40FE4"/>
    <w:rsid w:val="00B4137C"/>
    <w:rsid w:val="00B41DDE"/>
    <w:rsid w:val="00B41E33"/>
    <w:rsid w:val="00B420A0"/>
    <w:rsid w:val="00B42B26"/>
    <w:rsid w:val="00B42C9C"/>
    <w:rsid w:val="00B42ED0"/>
    <w:rsid w:val="00B42F78"/>
    <w:rsid w:val="00B43097"/>
    <w:rsid w:val="00B430E6"/>
    <w:rsid w:val="00B4384F"/>
    <w:rsid w:val="00B44575"/>
    <w:rsid w:val="00B44697"/>
    <w:rsid w:val="00B4473A"/>
    <w:rsid w:val="00B44F2F"/>
    <w:rsid w:val="00B454C1"/>
    <w:rsid w:val="00B465A4"/>
    <w:rsid w:val="00B46E64"/>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FF8"/>
    <w:rsid w:val="00B5327F"/>
    <w:rsid w:val="00B53B58"/>
    <w:rsid w:val="00B54047"/>
    <w:rsid w:val="00B54281"/>
    <w:rsid w:val="00B543F0"/>
    <w:rsid w:val="00B5472F"/>
    <w:rsid w:val="00B54778"/>
    <w:rsid w:val="00B547C1"/>
    <w:rsid w:val="00B549C6"/>
    <w:rsid w:val="00B549CD"/>
    <w:rsid w:val="00B5513B"/>
    <w:rsid w:val="00B551FD"/>
    <w:rsid w:val="00B55519"/>
    <w:rsid w:val="00B556D2"/>
    <w:rsid w:val="00B5592D"/>
    <w:rsid w:val="00B5596E"/>
    <w:rsid w:val="00B55D0F"/>
    <w:rsid w:val="00B564A2"/>
    <w:rsid w:val="00B5675D"/>
    <w:rsid w:val="00B56784"/>
    <w:rsid w:val="00B56E0C"/>
    <w:rsid w:val="00B57BC7"/>
    <w:rsid w:val="00B57EC2"/>
    <w:rsid w:val="00B600D4"/>
    <w:rsid w:val="00B60951"/>
    <w:rsid w:val="00B6099E"/>
    <w:rsid w:val="00B609BD"/>
    <w:rsid w:val="00B60BF3"/>
    <w:rsid w:val="00B60C43"/>
    <w:rsid w:val="00B60E93"/>
    <w:rsid w:val="00B6119E"/>
    <w:rsid w:val="00B61B10"/>
    <w:rsid w:val="00B61E2D"/>
    <w:rsid w:val="00B61F3C"/>
    <w:rsid w:val="00B623FF"/>
    <w:rsid w:val="00B62C4F"/>
    <w:rsid w:val="00B63361"/>
    <w:rsid w:val="00B636AB"/>
    <w:rsid w:val="00B63B1A"/>
    <w:rsid w:val="00B63BA6"/>
    <w:rsid w:val="00B63C7A"/>
    <w:rsid w:val="00B6414E"/>
    <w:rsid w:val="00B64602"/>
    <w:rsid w:val="00B64665"/>
    <w:rsid w:val="00B64B07"/>
    <w:rsid w:val="00B64DEE"/>
    <w:rsid w:val="00B64EF1"/>
    <w:rsid w:val="00B6502E"/>
    <w:rsid w:val="00B65177"/>
    <w:rsid w:val="00B6578A"/>
    <w:rsid w:val="00B657E1"/>
    <w:rsid w:val="00B65812"/>
    <w:rsid w:val="00B65815"/>
    <w:rsid w:val="00B65B46"/>
    <w:rsid w:val="00B65BED"/>
    <w:rsid w:val="00B66797"/>
    <w:rsid w:val="00B66A7B"/>
    <w:rsid w:val="00B66F2B"/>
    <w:rsid w:val="00B674C8"/>
    <w:rsid w:val="00B67B3A"/>
    <w:rsid w:val="00B67C9F"/>
    <w:rsid w:val="00B702C9"/>
    <w:rsid w:val="00B70426"/>
    <w:rsid w:val="00B704F9"/>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B87"/>
    <w:rsid w:val="00B75BED"/>
    <w:rsid w:val="00B75DA6"/>
    <w:rsid w:val="00B760BD"/>
    <w:rsid w:val="00B760C7"/>
    <w:rsid w:val="00B76554"/>
    <w:rsid w:val="00B76588"/>
    <w:rsid w:val="00B76BD2"/>
    <w:rsid w:val="00B76BF2"/>
    <w:rsid w:val="00B77849"/>
    <w:rsid w:val="00B7793B"/>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35BF"/>
    <w:rsid w:val="00B839B0"/>
    <w:rsid w:val="00B83B34"/>
    <w:rsid w:val="00B83D9A"/>
    <w:rsid w:val="00B84369"/>
    <w:rsid w:val="00B84738"/>
    <w:rsid w:val="00B848DE"/>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B54"/>
    <w:rsid w:val="00B87C9D"/>
    <w:rsid w:val="00B904E3"/>
    <w:rsid w:val="00B9065D"/>
    <w:rsid w:val="00B90F6E"/>
    <w:rsid w:val="00B91159"/>
    <w:rsid w:val="00B911BD"/>
    <w:rsid w:val="00B9180F"/>
    <w:rsid w:val="00B9255A"/>
    <w:rsid w:val="00B928F4"/>
    <w:rsid w:val="00B92FD9"/>
    <w:rsid w:val="00B9337E"/>
    <w:rsid w:val="00B93B5C"/>
    <w:rsid w:val="00B93EC1"/>
    <w:rsid w:val="00B944E6"/>
    <w:rsid w:val="00B95220"/>
    <w:rsid w:val="00B95670"/>
    <w:rsid w:val="00B95976"/>
    <w:rsid w:val="00B96480"/>
    <w:rsid w:val="00B96760"/>
    <w:rsid w:val="00B96BDB"/>
    <w:rsid w:val="00B97E07"/>
    <w:rsid w:val="00B97E60"/>
    <w:rsid w:val="00BA0199"/>
    <w:rsid w:val="00BA0325"/>
    <w:rsid w:val="00BA0525"/>
    <w:rsid w:val="00BA0551"/>
    <w:rsid w:val="00BA07A7"/>
    <w:rsid w:val="00BA0C01"/>
    <w:rsid w:val="00BA1180"/>
    <w:rsid w:val="00BA12A7"/>
    <w:rsid w:val="00BA19EB"/>
    <w:rsid w:val="00BA1AE5"/>
    <w:rsid w:val="00BA201F"/>
    <w:rsid w:val="00BA2D69"/>
    <w:rsid w:val="00BA310E"/>
    <w:rsid w:val="00BA3880"/>
    <w:rsid w:val="00BA3A19"/>
    <w:rsid w:val="00BA3BB6"/>
    <w:rsid w:val="00BA3D96"/>
    <w:rsid w:val="00BA4395"/>
    <w:rsid w:val="00BA452D"/>
    <w:rsid w:val="00BA4DE2"/>
    <w:rsid w:val="00BA4E26"/>
    <w:rsid w:val="00BA515C"/>
    <w:rsid w:val="00BA53E9"/>
    <w:rsid w:val="00BA55AB"/>
    <w:rsid w:val="00BA642E"/>
    <w:rsid w:val="00BA683E"/>
    <w:rsid w:val="00BA6A8D"/>
    <w:rsid w:val="00BA7438"/>
    <w:rsid w:val="00BA770E"/>
    <w:rsid w:val="00BB080E"/>
    <w:rsid w:val="00BB082C"/>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521"/>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1A"/>
    <w:rsid w:val="00BC1953"/>
    <w:rsid w:val="00BC1A9B"/>
    <w:rsid w:val="00BC1C20"/>
    <w:rsid w:val="00BC26FF"/>
    <w:rsid w:val="00BC340E"/>
    <w:rsid w:val="00BC3AC0"/>
    <w:rsid w:val="00BC3E82"/>
    <w:rsid w:val="00BC3FF2"/>
    <w:rsid w:val="00BC401A"/>
    <w:rsid w:val="00BC4383"/>
    <w:rsid w:val="00BC4590"/>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5C1"/>
    <w:rsid w:val="00BD0811"/>
    <w:rsid w:val="00BD0C0D"/>
    <w:rsid w:val="00BD0D4C"/>
    <w:rsid w:val="00BD1565"/>
    <w:rsid w:val="00BD16BA"/>
    <w:rsid w:val="00BD1D5C"/>
    <w:rsid w:val="00BD2557"/>
    <w:rsid w:val="00BD2A37"/>
    <w:rsid w:val="00BD2B45"/>
    <w:rsid w:val="00BD2FF4"/>
    <w:rsid w:val="00BD3119"/>
    <w:rsid w:val="00BD348E"/>
    <w:rsid w:val="00BD356A"/>
    <w:rsid w:val="00BD365F"/>
    <w:rsid w:val="00BD3D4D"/>
    <w:rsid w:val="00BD40BE"/>
    <w:rsid w:val="00BD4181"/>
    <w:rsid w:val="00BD4894"/>
    <w:rsid w:val="00BD4B05"/>
    <w:rsid w:val="00BD50C9"/>
    <w:rsid w:val="00BD582C"/>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946"/>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96E"/>
    <w:rsid w:val="00BF0DC5"/>
    <w:rsid w:val="00BF10A1"/>
    <w:rsid w:val="00BF11AF"/>
    <w:rsid w:val="00BF1269"/>
    <w:rsid w:val="00BF1318"/>
    <w:rsid w:val="00BF16B5"/>
    <w:rsid w:val="00BF1A38"/>
    <w:rsid w:val="00BF1E00"/>
    <w:rsid w:val="00BF25C8"/>
    <w:rsid w:val="00BF2C90"/>
    <w:rsid w:val="00BF305E"/>
    <w:rsid w:val="00BF36DB"/>
    <w:rsid w:val="00BF3B3F"/>
    <w:rsid w:val="00BF41E0"/>
    <w:rsid w:val="00BF4385"/>
    <w:rsid w:val="00BF4C43"/>
    <w:rsid w:val="00BF50A4"/>
    <w:rsid w:val="00BF5B60"/>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C27"/>
    <w:rsid w:val="00C015E9"/>
    <w:rsid w:val="00C01A4E"/>
    <w:rsid w:val="00C02502"/>
    <w:rsid w:val="00C03225"/>
    <w:rsid w:val="00C037D4"/>
    <w:rsid w:val="00C03AF2"/>
    <w:rsid w:val="00C03DCD"/>
    <w:rsid w:val="00C0407D"/>
    <w:rsid w:val="00C0431F"/>
    <w:rsid w:val="00C046CF"/>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DC2"/>
    <w:rsid w:val="00C145C4"/>
    <w:rsid w:val="00C146E5"/>
    <w:rsid w:val="00C14F24"/>
    <w:rsid w:val="00C152DE"/>
    <w:rsid w:val="00C153C4"/>
    <w:rsid w:val="00C15406"/>
    <w:rsid w:val="00C154CA"/>
    <w:rsid w:val="00C15C8B"/>
    <w:rsid w:val="00C160FB"/>
    <w:rsid w:val="00C16811"/>
    <w:rsid w:val="00C16AB2"/>
    <w:rsid w:val="00C17058"/>
    <w:rsid w:val="00C170A3"/>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DBF"/>
    <w:rsid w:val="00C220B8"/>
    <w:rsid w:val="00C221EC"/>
    <w:rsid w:val="00C22467"/>
    <w:rsid w:val="00C2279A"/>
    <w:rsid w:val="00C227CB"/>
    <w:rsid w:val="00C23944"/>
    <w:rsid w:val="00C23B8E"/>
    <w:rsid w:val="00C24843"/>
    <w:rsid w:val="00C2486B"/>
    <w:rsid w:val="00C248CA"/>
    <w:rsid w:val="00C24CD7"/>
    <w:rsid w:val="00C2512B"/>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CF1"/>
    <w:rsid w:val="00C3103B"/>
    <w:rsid w:val="00C3116A"/>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6D8"/>
    <w:rsid w:val="00C3590B"/>
    <w:rsid w:val="00C3594A"/>
    <w:rsid w:val="00C35981"/>
    <w:rsid w:val="00C35E9F"/>
    <w:rsid w:val="00C36268"/>
    <w:rsid w:val="00C3647C"/>
    <w:rsid w:val="00C37711"/>
    <w:rsid w:val="00C40165"/>
    <w:rsid w:val="00C40897"/>
    <w:rsid w:val="00C4114E"/>
    <w:rsid w:val="00C412CC"/>
    <w:rsid w:val="00C415A7"/>
    <w:rsid w:val="00C41742"/>
    <w:rsid w:val="00C41D87"/>
    <w:rsid w:val="00C42081"/>
    <w:rsid w:val="00C4218D"/>
    <w:rsid w:val="00C42674"/>
    <w:rsid w:val="00C42B29"/>
    <w:rsid w:val="00C4326A"/>
    <w:rsid w:val="00C4358A"/>
    <w:rsid w:val="00C43759"/>
    <w:rsid w:val="00C4396C"/>
    <w:rsid w:val="00C43C92"/>
    <w:rsid w:val="00C44147"/>
    <w:rsid w:val="00C443E0"/>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23D"/>
    <w:rsid w:val="00C47B4F"/>
    <w:rsid w:val="00C47BCD"/>
    <w:rsid w:val="00C47FDE"/>
    <w:rsid w:val="00C500DE"/>
    <w:rsid w:val="00C501CE"/>
    <w:rsid w:val="00C50661"/>
    <w:rsid w:val="00C50728"/>
    <w:rsid w:val="00C507F7"/>
    <w:rsid w:val="00C50928"/>
    <w:rsid w:val="00C50DC3"/>
    <w:rsid w:val="00C50DD6"/>
    <w:rsid w:val="00C50E43"/>
    <w:rsid w:val="00C50F67"/>
    <w:rsid w:val="00C512FA"/>
    <w:rsid w:val="00C514C3"/>
    <w:rsid w:val="00C51C3C"/>
    <w:rsid w:val="00C51F4D"/>
    <w:rsid w:val="00C52530"/>
    <w:rsid w:val="00C5260C"/>
    <w:rsid w:val="00C52756"/>
    <w:rsid w:val="00C5293F"/>
    <w:rsid w:val="00C53149"/>
    <w:rsid w:val="00C534AA"/>
    <w:rsid w:val="00C53709"/>
    <w:rsid w:val="00C53BA7"/>
    <w:rsid w:val="00C544F7"/>
    <w:rsid w:val="00C545AB"/>
    <w:rsid w:val="00C546EF"/>
    <w:rsid w:val="00C54EA5"/>
    <w:rsid w:val="00C55149"/>
    <w:rsid w:val="00C55190"/>
    <w:rsid w:val="00C55338"/>
    <w:rsid w:val="00C5570B"/>
    <w:rsid w:val="00C55852"/>
    <w:rsid w:val="00C55B24"/>
    <w:rsid w:val="00C55DB5"/>
    <w:rsid w:val="00C560F7"/>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16E"/>
    <w:rsid w:val="00C6555B"/>
    <w:rsid w:val="00C659D8"/>
    <w:rsid w:val="00C65AAF"/>
    <w:rsid w:val="00C65AFE"/>
    <w:rsid w:val="00C65E9D"/>
    <w:rsid w:val="00C66176"/>
    <w:rsid w:val="00C66532"/>
    <w:rsid w:val="00C6668D"/>
    <w:rsid w:val="00C66771"/>
    <w:rsid w:val="00C66E16"/>
    <w:rsid w:val="00C67589"/>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915"/>
    <w:rsid w:val="00C95D5B"/>
    <w:rsid w:val="00C95E15"/>
    <w:rsid w:val="00C96494"/>
    <w:rsid w:val="00C964C6"/>
    <w:rsid w:val="00C964F8"/>
    <w:rsid w:val="00C970EF"/>
    <w:rsid w:val="00C9722B"/>
    <w:rsid w:val="00C97C31"/>
    <w:rsid w:val="00C97FE2"/>
    <w:rsid w:val="00CA0313"/>
    <w:rsid w:val="00CA05A2"/>
    <w:rsid w:val="00CA06BB"/>
    <w:rsid w:val="00CA0918"/>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73E"/>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7374"/>
    <w:rsid w:val="00CA7884"/>
    <w:rsid w:val="00CA79B6"/>
    <w:rsid w:val="00CA7A03"/>
    <w:rsid w:val="00CA7BA3"/>
    <w:rsid w:val="00CA7F13"/>
    <w:rsid w:val="00CA7F32"/>
    <w:rsid w:val="00CA7FD7"/>
    <w:rsid w:val="00CB01FC"/>
    <w:rsid w:val="00CB13F9"/>
    <w:rsid w:val="00CB2439"/>
    <w:rsid w:val="00CB288C"/>
    <w:rsid w:val="00CB2C49"/>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49D"/>
    <w:rsid w:val="00CC277B"/>
    <w:rsid w:val="00CC278C"/>
    <w:rsid w:val="00CC286A"/>
    <w:rsid w:val="00CC2CFB"/>
    <w:rsid w:val="00CC2FBD"/>
    <w:rsid w:val="00CC3766"/>
    <w:rsid w:val="00CC43AC"/>
    <w:rsid w:val="00CC47A3"/>
    <w:rsid w:val="00CC4E91"/>
    <w:rsid w:val="00CC51AD"/>
    <w:rsid w:val="00CC53C9"/>
    <w:rsid w:val="00CC56A5"/>
    <w:rsid w:val="00CC6331"/>
    <w:rsid w:val="00CC6854"/>
    <w:rsid w:val="00CC6CA5"/>
    <w:rsid w:val="00CC6FA7"/>
    <w:rsid w:val="00CC7511"/>
    <w:rsid w:val="00CC7E9A"/>
    <w:rsid w:val="00CD173B"/>
    <w:rsid w:val="00CD1A1C"/>
    <w:rsid w:val="00CD1B9D"/>
    <w:rsid w:val="00CD1C82"/>
    <w:rsid w:val="00CD1CD9"/>
    <w:rsid w:val="00CD1D33"/>
    <w:rsid w:val="00CD1FCE"/>
    <w:rsid w:val="00CD2297"/>
    <w:rsid w:val="00CD290C"/>
    <w:rsid w:val="00CD2C38"/>
    <w:rsid w:val="00CD3178"/>
    <w:rsid w:val="00CD321E"/>
    <w:rsid w:val="00CD3297"/>
    <w:rsid w:val="00CD3519"/>
    <w:rsid w:val="00CD3AAF"/>
    <w:rsid w:val="00CD41F7"/>
    <w:rsid w:val="00CD4758"/>
    <w:rsid w:val="00CD4A06"/>
    <w:rsid w:val="00CD4D1D"/>
    <w:rsid w:val="00CD4E99"/>
    <w:rsid w:val="00CD5A75"/>
    <w:rsid w:val="00CD6DE4"/>
    <w:rsid w:val="00CD72A8"/>
    <w:rsid w:val="00CD752D"/>
    <w:rsid w:val="00CD76F8"/>
    <w:rsid w:val="00CD7895"/>
    <w:rsid w:val="00CD7F38"/>
    <w:rsid w:val="00CE00C9"/>
    <w:rsid w:val="00CE039C"/>
    <w:rsid w:val="00CE053E"/>
    <w:rsid w:val="00CE0634"/>
    <w:rsid w:val="00CE08A4"/>
    <w:rsid w:val="00CE0DFE"/>
    <w:rsid w:val="00CE0FF1"/>
    <w:rsid w:val="00CE15A3"/>
    <w:rsid w:val="00CE1637"/>
    <w:rsid w:val="00CE16F7"/>
    <w:rsid w:val="00CE1ECD"/>
    <w:rsid w:val="00CE20AF"/>
    <w:rsid w:val="00CE2245"/>
    <w:rsid w:val="00CE2618"/>
    <w:rsid w:val="00CE270C"/>
    <w:rsid w:val="00CE27CA"/>
    <w:rsid w:val="00CE2F8A"/>
    <w:rsid w:val="00CE34A9"/>
    <w:rsid w:val="00CE3757"/>
    <w:rsid w:val="00CE45F2"/>
    <w:rsid w:val="00CE463D"/>
    <w:rsid w:val="00CE4670"/>
    <w:rsid w:val="00CE46BC"/>
    <w:rsid w:val="00CE50B3"/>
    <w:rsid w:val="00CE53AA"/>
    <w:rsid w:val="00CE53F9"/>
    <w:rsid w:val="00CE5405"/>
    <w:rsid w:val="00CE592B"/>
    <w:rsid w:val="00CE5D0E"/>
    <w:rsid w:val="00CE5E12"/>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725"/>
    <w:rsid w:val="00CF58C1"/>
    <w:rsid w:val="00CF5AD4"/>
    <w:rsid w:val="00CF5D9B"/>
    <w:rsid w:val="00CF601A"/>
    <w:rsid w:val="00CF6594"/>
    <w:rsid w:val="00CF662D"/>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1E0"/>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601B"/>
    <w:rsid w:val="00D06574"/>
    <w:rsid w:val="00D06663"/>
    <w:rsid w:val="00D06CA3"/>
    <w:rsid w:val="00D06F63"/>
    <w:rsid w:val="00D06FDE"/>
    <w:rsid w:val="00D06FF9"/>
    <w:rsid w:val="00D07206"/>
    <w:rsid w:val="00D07215"/>
    <w:rsid w:val="00D0736A"/>
    <w:rsid w:val="00D07748"/>
    <w:rsid w:val="00D077E8"/>
    <w:rsid w:val="00D07A93"/>
    <w:rsid w:val="00D07BBB"/>
    <w:rsid w:val="00D100B2"/>
    <w:rsid w:val="00D10107"/>
    <w:rsid w:val="00D10306"/>
    <w:rsid w:val="00D10437"/>
    <w:rsid w:val="00D1090E"/>
    <w:rsid w:val="00D11E5E"/>
    <w:rsid w:val="00D12136"/>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15E"/>
    <w:rsid w:val="00D166A8"/>
    <w:rsid w:val="00D16B94"/>
    <w:rsid w:val="00D16D51"/>
    <w:rsid w:val="00D16EE6"/>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51E8"/>
    <w:rsid w:val="00D25AF8"/>
    <w:rsid w:val="00D25E95"/>
    <w:rsid w:val="00D25EA9"/>
    <w:rsid w:val="00D26019"/>
    <w:rsid w:val="00D260B5"/>
    <w:rsid w:val="00D261AC"/>
    <w:rsid w:val="00D261F0"/>
    <w:rsid w:val="00D27EBD"/>
    <w:rsid w:val="00D27F78"/>
    <w:rsid w:val="00D31F09"/>
    <w:rsid w:val="00D31FCA"/>
    <w:rsid w:val="00D32E34"/>
    <w:rsid w:val="00D33CC8"/>
    <w:rsid w:val="00D340B7"/>
    <w:rsid w:val="00D341DD"/>
    <w:rsid w:val="00D34317"/>
    <w:rsid w:val="00D3444B"/>
    <w:rsid w:val="00D34995"/>
    <w:rsid w:val="00D34A32"/>
    <w:rsid w:val="00D34D4F"/>
    <w:rsid w:val="00D35627"/>
    <w:rsid w:val="00D35646"/>
    <w:rsid w:val="00D358F9"/>
    <w:rsid w:val="00D35B86"/>
    <w:rsid w:val="00D369A0"/>
    <w:rsid w:val="00D36E7F"/>
    <w:rsid w:val="00D37310"/>
    <w:rsid w:val="00D37323"/>
    <w:rsid w:val="00D378CB"/>
    <w:rsid w:val="00D37E4C"/>
    <w:rsid w:val="00D37EB5"/>
    <w:rsid w:val="00D40455"/>
    <w:rsid w:val="00D4057B"/>
    <w:rsid w:val="00D40738"/>
    <w:rsid w:val="00D418D8"/>
    <w:rsid w:val="00D41EBC"/>
    <w:rsid w:val="00D42192"/>
    <w:rsid w:val="00D42453"/>
    <w:rsid w:val="00D42644"/>
    <w:rsid w:val="00D42CE0"/>
    <w:rsid w:val="00D42E6A"/>
    <w:rsid w:val="00D4322A"/>
    <w:rsid w:val="00D4362A"/>
    <w:rsid w:val="00D43AC0"/>
    <w:rsid w:val="00D43E90"/>
    <w:rsid w:val="00D440C6"/>
    <w:rsid w:val="00D4556F"/>
    <w:rsid w:val="00D455C8"/>
    <w:rsid w:val="00D45CA6"/>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B72"/>
    <w:rsid w:val="00D53F55"/>
    <w:rsid w:val="00D5408F"/>
    <w:rsid w:val="00D54457"/>
    <w:rsid w:val="00D54638"/>
    <w:rsid w:val="00D5566F"/>
    <w:rsid w:val="00D55887"/>
    <w:rsid w:val="00D55A26"/>
    <w:rsid w:val="00D55BD7"/>
    <w:rsid w:val="00D55EB3"/>
    <w:rsid w:val="00D5603A"/>
    <w:rsid w:val="00D563E9"/>
    <w:rsid w:val="00D56503"/>
    <w:rsid w:val="00D5701B"/>
    <w:rsid w:val="00D570EF"/>
    <w:rsid w:val="00D572E8"/>
    <w:rsid w:val="00D578C8"/>
    <w:rsid w:val="00D57AFD"/>
    <w:rsid w:val="00D57FCF"/>
    <w:rsid w:val="00D600DC"/>
    <w:rsid w:val="00D6075D"/>
    <w:rsid w:val="00D61372"/>
    <w:rsid w:val="00D61EE1"/>
    <w:rsid w:val="00D62423"/>
    <w:rsid w:val="00D62B49"/>
    <w:rsid w:val="00D62D14"/>
    <w:rsid w:val="00D63232"/>
    <w:rsid w:val="00D6496D"/>
    <w:rsid w:val="00D64D0F"/>
    <w:rsid w:val="00D65504"/>
    <w:rsid w:val="00D65FA4"/>
    <w:rsid w:val="00D66159"/>
    <w:rsid w:val="00D664BE"/>
    <w:rsid w:val="00D666B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B7E"/>
    <w:rsid w:val="00D72C26"/>
    <w:rsid w:val="00D72F8B"/>
    <w:rsid w:val="00D73186"/>
    <w:rsid w:val="00D73658"/>
    <w:rsid w:val="00D7386D"/>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F57"/>
    <w:rsid w:val="00D9333B"/>
    <w:rsid w:val="00D933E7"/>
    <w:rsid w:val="00D93DB7"/>
    <w:rsid w:val="00D9448D"/>
    <w:rsid w:val="00D94562"/>
    <w:rsid w:val="00D94A9C"/>
    <w:rsid w:val="00D94BA8"/>
    <w:rsid w:val="00D94CC2"/>
    <w:rsid w:val="00D94E5F"/>
    <w:rsid w:val="00D951CD"/>
    <w:rsid w:val="00D95A9E"/>
    <w:rsid w:val="00D95E1C"/>
    <w:rsid w:val="00D95F18"/>
    <w:rsid w:val="00D96286"/>
    <w:rsid w:val="00D962F4"/>
    <w:rsid w:val="00D9670F"/>
    <w:rsid w:val="00D968E2"/>
    <w:rsid w:val="00D96B5F"/>
    <w:rsid w:val="00D96EC8"/>
    <w:rsid w:val="00D972A2"/>
    <w:rsid w:val="00D97530"/>
    <w:rsid w:val="00D97A37"/>
    <w:rsid w:val="00D97BFC"/>
    <w:rsid w:val="00D97F9E"/>
    <w:rsid w:val="00DA0398"/>
    <w:rsid w:val="00DA0437"/>
    <w:rsid w:val="00DA101B"/>
    <w:rsid w:val="00DA121A"/>
    <w:rsid w:val="00DA1C89"/>
    <w:rsid w:val="00DA2065"/>
    <w:rsid w:val="00DA2120"/>
    <w:rsid w:val="00DA2585"/>
    <w:rsid w:val="00DA2AF4"/>
    <w:rsid w:val="00DA315F"/>
    <w:rsid w:val="00DA31E4"/>
    <w:rsid w:val="00DA3DD0"/>
    <w:rsid w:val="00DA3EFC"/>
    <w:rsid w:val="00DA4D14"/>
    <w:rsid w:val="00DA5415"/>
    <w:rsid w:val="00DA562B"/>
    <w:rsid w:val="00DA5DA5"/>
    <w:rsid w:val="00DA5F98"/>
    <w:rsid w:val="00DA633E"/>
    <w:rsid w:val="00DA6389"/>
    <w:rsid w:val="00DA63E8"/>
    <w:rsid w:val="00DA65C8"/>
    <w:rsid w:val="00DA6CBF"/>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F5"/>
    <w:rsid w:val="00DB3544"/>
    <w:rsid w:val="00DB3AD8"/>
    <w:rsid w:val="00DB3CFF"/>
    <w:rsid w:val="00DB3D69"/>
    <w:rsid w:val="00DB3DA5"/>
    <w:rsid w:val="00DB3DE4"/>
    <w:rsid w:val="00DB3F9D"/>
    <w:rsid w:val="00DB414B"/>
    <w:rsid w:val="00DB491B"/>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0C39"/>
    <w:rsid w:val="00DC13D1"/>
    <w:rsid w:val="00DC14C1"/>
    <w:rsid w:val="00DC15CB"/>
    <w:rsid w:val="00DC16CA"/>
    <w:rsid w:val="00DC1757"/>
    <w:rsid w:val="00DC1B2B"/>
    <w:rsid w:val="00DC2418"/>
    <w:rsid w:val="00DC2C61"/>
    <w:rsid w:val="00DC3165"/>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B95"/>
    <w:rsid w:val="00DC6C69"/>
    <w:rsid w:val="00DC6DB2"/>
    <w:rsid w:val="00DC733A"/>
    <w:rsid w:val="00DC74C7"/>
    <w:rsid w:val="00DC7B6A"/>
    <w:rsid w:val="00DC7C45"/>
    <w:rsid w:val="00DC7FBE"/>
    <w:rsid w:val="00DD0759"/>
    <w:rsid w:val="00DD0842"/>
    <w:rsid w:val="00DD12E3"/>
    <w:rsid w:val="00DD15F8"/>
    <w:rsid w:val="00DD1690"/>
    <w:rsid w:val="00DD1770"/>
    <w:rsid w:val="00DD1841"/>
    <w:rsid w:val="00DD1C05"/>
    <w:rsid w:val="00DD26B2"/>
    <w:rsid w:val="00DD28B8"/>
    <w:rsid w:val="00DD2981"/>
    <w:rsid w:val="00DD2C24"/>
    <w:rsid w:val="00DD2C4F"/>
    <w:rsid w:val="00DD2DF8"/>
    <w:rsid w:val="00DD2F1B"/>
    <w:rsid w:val="00DD351A"/>
    <w:rsid w:val="00DD358D"/>
    <w:rsid w:val="00DD3654"/>
    <w:rsid w:val="00DD4323"/>
    <w:rsid w:val="00DD46B2"/>
    <w:rsid w:val="00DD4898"/>
    <w:rsid w:val="00DD4991"/>
    <w:rsid w:val="00DD49F6"/>
    <w:rsid w:val="00DD51DE"/>
    <w:rsid w:val="00DD5A4D"/>
    <w:rsid w:val="00DD656B"/>
    <w:rsid w:val="00DD6810"/>
    <w:rsid w:val="00DD68CF"/>
    <w:rsid w:val="00DD695D"/>
    <w:rsid w:val="00DD6A2B"/>
    <w:rsid w:val="00DD6DDF"/>
    <w:rsid w:val="00DD7D29"/>
    <w:rsid w:val="00DE0244"/>
    <w:rsid w:val="00DE0CB4"/>
    <w:rsid w:val="00DE0E30"/>
    <w:rsid w:val="00DE1C94"/>
    <w:rsid w:val="00DE1E2C"/>
    <w:rsid w:val="00DE20C3"/>
    <w:rsid w:val="00DE22D4"/>
    <w:rsid w:val="00DE2341"/>
    <w:rsid w:val="00DE2348"/>
    <w:rsid w:val="00DE31D6"/>
    <w:rsid w:val="00DE3658"/>
    <w:rsid w:val="00DE404F"/>
    <w:rsid w:val="00DE5393"/>
    <w:rsid w:val="00DE5903"/>
    <w:rsid w:val="00DE5DC7"/>
    <w:rsid w:val="00DE5EA5"/>
    <w:rsid w:val="00DE6094"/>
    <w:rsid w:val="00DE631C"/>
    <w:rsid w:val="00DE6798"/>
    <w:rsid w:val="00DE6A63"/>
    <w:rsid w:val="00DE6BAF"/>
    <w:rsid w:val="00DE70DA"/>
    <w:rsid w:val="00DE71AE"/>
    <w:rsid w:val="00DE79E1"/>
    <w:rsid w:val="00DE7CBF"/>
    <w:rsid w:val="00DF08FD"/>
    <w:rsid w:val="00DF0C3E"/>
    <w:rsid w:val="00DF0F56"/>
    <w:rsid w:val="00DF117B"/>
    <w:rsid w:val="00DF119E"/>
    <w:rsid w:val="00DF1453"/>
    <w:rsid w:val="00DF15D0"/>
    <w:rsid w:val="00DF1600"/>
    <w:rsid w:val="00DF1D16"/>
    <w:rsid w:val="00DF2220"/>
    <w:rsid w:val="00DF2C6C"/>
    <w:rsid w:val="00DF2F44"/>
    <w:rsid w:val="00DF3097"/>
    <w:rsid w:val="00DF323D"/>
    <w:rsid w:val="00DF365B"/>
    <w:rsid w:val="00DF3669"/>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945"/>
    <w:rsid w:val="00DF7D69"/>
    <w:rsid w:val="00E00272"/>
    <w:rsid w:val="00E00360"/>
    <w:rsid w:val="00E00C0C"/>
    <w:rsid w:val="00E00FB7"/>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44F"/>
    <w:rsid w:val="00E04A8A"/>
    <w:rsid w:val="00E0505B"/>
    <w:rsid w:val="00E05991"/>
    <w:rsid w:val="00E05DC6"/>
    <w:rsid w:val="00E06074"/>
    <w:rsid w:val="00E062DC"/>
    <w:rsid w:val="00E063C0"/>
    <w:rsid w:val="00E063D1"/>
    <w:rsid w:val="00E0642D"/>
    <w:rsid w:val="00E064CD"/>
    <w:rsid w:val="00E06AC2"/>
    <w:rsid w:val="00E070B2"/>
    <w:rsid w:val="00E07B18"/>
    <w:rsid w:val="00E07DE0"/>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E1A"/>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A91"/>
    <w:rsid w:val="00E23F6B"/>
    <w:rsid w:val="00E24391"/>
    <w:rsid w:val="00E24779"/>
    <w:rsid w:val="00E2497D"/>
    <w:rsid w:val="00E25387"/>
    <w:rsid w:val="00E25F90"/>
    <w:rsid w:val="00E26225"/>
    <w:rsid w:val="00E26480"/>
    <w:rsid w:val="00E264AC"/>
    <w:rsid w:val="00E2660E"/>
    <w:rsid w:val="00E26B25"/>
    <w:rsid w:val="00E26F6F"/>
    <w:rsid w:val="00E271E1"/>
    <w:rsid w:val="00E27651"/>
    <w:rsid w:val="00E27C4A"/>
    <w:rsid w:val="00E27C7E"/>
    <w:rsid w:val="00E27F05"/>
    <w:rsid w:val="00E3023E"/>
    <w:rsid w:val="00E3030A"/>
    <w:rsid w:val="00E30BA2"/>
    <w:rsid w:val="00E311BA"/>
    <w:rsid w:val="00E319D6"/>
    <w:rsid w:val="00E31A20"/>
    <w:rsid w:val="00E3225E"/>
    <w:rsid w:val="00E32A7C"/>
    <w:rsid w:val="00E33C5D"/>
    <w:rsid w:val="00E3425C"/>
    <w:rsid w:val="00E34535"/>
    <w:rsid w:val="00E3459B"/>
    <w:rsid w:val="00E34649"/>
    <w:rsid w:val="00E34809"/>
    <w:rsid w:val="00E34FF6"/>
    <w:rsid w:val="00E35617"/>
    <w:rsid w:val="00E357D1"/>
    <w:rsid w:val="00E35807"/>
    <w:rsid w:val="00E35E76"/>
    <w:rsid w:val="00E35EA4"/>
    <w:rsid w:val="00E35EDC"/>
    <w:rsid w:val="00E36045"/>
    <w:rsid w:val="00E3638D"/>
    <w:rsid w:val="00E36533"/>
    <w:rsid w:val="00E36BC2"/>
    <w:rsid w:val="00E36CAE"/>
    <w:rsid w:val="00E36DDF"/>
    <w:rsid w:val="00E36F52"/>
    <w:rsid w:val="00E36F85"/>
    <w:rsid w:val="00E377A3"/>
    <w:rsid w:val="00E37934"/>
    <w:rsid w:val="00E4078D"/>
    <w:rsid w:val="00E40857"/>
    <w:rsid w:val="00E40DED"/>
    <w:rsid w:val="00E41078"/>
    <w:rsid w:val="00E41184"/>
    <w:rsid w:val="00E41395"/>
    <w:rsid w:val="00E419A8"/>
    <w:rsid w:val="00E41DF3"/>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5B4"/>
    <w:rsid w:val="00E45ADE"/>
    <w:rsid w:val="00E45DF7"/>
    <w:rsid w:val="00E45FCA"/>
    <w:rsid w:val="00E45FD2"/>
    <w:rsid w:val="00E462EE"/>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E78"/>
    <w:rsid w:val="00E51EB7"/>
    <w:rsid w:val="00E52588"/>
    <w:rsid w:val="00E52B7D"/>
    <w:rsid w:val="00E52EA3"/>
    <w:rsid w:val="00E531B0"/>
    <w:rsid w:val="00E53827"/>
    <w:rsid w:val="00E549CE"/>
    <w:rsid w:val="00E54F4C"/>
    <w:rsid w:val="00E5539A"/>
    <w:rsid w:val="00E55473"/>
    <w:rsid w:val="00E55A6D"/>
    <w:rsid w:val="00E55B05"/>
    <w:rsid w:val="00E55C33"/>
    <w:rsid w:val="00E55E2C"/>
    <w:rsid w:val="00E55F45"/>
    <w:rsid w:val="00E56215"/>
    <w:rsid w:val="00E56878"/>
    <w:rsid w:val="00E5688F"/>
    <w:rsid w:val="00E56914"/>
    <w:rsid w:val="00E56F70"/>
    <w:rsid w:val="00E57491"/>
    <w:rsid w:val="00E57824"/>
    <w:rsid w:val="00E57BBC"/>
    <w:rsid w:val="00E57C5A"/>
    <w:rsid w:val="00E57D39"/>
    <w:rsid w:val="00E60190"/>
    <w:rsid w:val="00E602E8"/>
    <w:rsid w:val="00E60663"/>
    <w:rsid w:val="00E608D1"/>
    <w:rsid w:val="00E60CB3"/>
    <w:rsid w:val="00E61077"/>
    <w:rsid w:val="00E61112"/>
    <w:rsid w:val="00E614BC"/>
    <w:rsid w:val="00E619EB"/>
    <w:rsid w:val="00E623A3"/>
    <w:rsid w:val="00E62E93"/>
    <w:rsid w:val="00E62FD3"/>
    <w:rsid w:val="00E6313F"/>
    <w:rsid w:val="00E63358"/>
    <w:rsid w:val="00E6353D"/>
    <w:rsid w:val="00E637D4"/>
    <w:rsid w:val="00E639DF"/>
    <w:rsid w:val="00E63C04"/>
    <w:rsid w:val="00E63FE8"/>
    <w:rsid w:val="00E642C7"/>
    <w:rsid w:val="00E64AD5"/>
    <w:rsid w:val="00E64BF9"/>
    <w:rsid w:val="00E64DA1"/>
    <w:rsid w:val="00E64FB6"/>
    <w:rsid w:val="00E6510A"/>
    <w:rsid w:val="00E657CA"/>
    <w:rsid w:val="00E65BFA"/>
    <w:rsid w:val="00E65C78"/>
    <w:rsid w:val="00E6601B"/>
    <w:rsid w:val="00E660A3"/>
    <w:rsid w:val="00E66601"/>
    <w:rsid w:val="00E66CC9"/>
    <w:rsid w:val="00E66FA1"/>
    <w:rsid w:val="00E67CB4"/>
    <w:rsid w:val="00E705BD"/>
    <w:rsid w:val="00E708F6"/>
    <w:rsid w:val="00E70B81"/>
    <w:rsid w:val="00E71038"/>
    <w:rsid w:val="00E71AE9"/>
    <w:rsid w:val="00E71D3E"/>
    <w:rsid w:val="00E72B62"/>
    <w:rsid w:val="00E72E22"/>
    <w:rsid w:val="00E73850"/>
    <w:rsid w:val="00E73881"/>
    <w:rsid w:val="00E73ACA"/>
    <w:rsid w:val="00E73DAD"/>
    <w:rsid w:val="00E73F74"/>
    <w:rsid w:val="00E73F95"/>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63B"/>
    <w:rsid w:val="00E779AB"/>
    <w:rsid w:val="00E77D24"/>
    <w:rsid w:val="00E77EA4"/>
    <w:rsid w:val="00E802D9"/>
    <w:rsid w:val="00E805D3"/>
    <w:rsid w:val="00E80A77"/>
    <w:rsid w:val="00E80B59"/>
    <w:rsid w:val="00E81304"/>
    <w:rsid w:val="00E8146C"/>
    <w:rsid w:val="00E81E49"/>
    <w:rsid w:val="00E82222"/>
    <w:rsid w:val="00E822E9"/>
    <w:rsid w:val="00E82473"/>
    <w:rsid w:val="00E82992"/>
    <w:rsid w:val="00E829AF"/>
    <w:rsid w:val="00E82A4C"/>
    <w:rsid w:val="00E82B24"/>
    <w:rsid w:val="00E83045"/>
    <w:rsid w:val="00E8312A"/>
    <w:rsid w:val="00E834AE"/>
    <w:rsid w:val="00E839A4"/>
    <w:rsid w:val="00E83CF8"/>
    <w:rsid w:val="00E83DD1"/>
    <w:rsid w:val="00E8402B"/>
    <w:rsid w:val="00E8434C"/>
    <w:rsid w:val="00E84FC1"/>
    <w:rsid w:val="00E8505D"/>
    <w:rsid w:val="00E85335"/>
    <w:rsid w:val="00E85571"/>
    <w:rsid w:val="00E85BB5"/>
    <w:rsid w:val="00E85E4E"/>
    <w:rsid w:val="00E8616F"/>
    <w:rsid w:val="00E86640"/>
    <w:rsid w:val="00E86ADC"/>
    <w:rsid w:val="00E86EC9"/>
    <w:rsid w:val="00E8725E"/>
    <w:rsid w:val="00E87603"/>
    <w:rsid w:val="00E87CD8"/>
    <w:rsid w:val="00E90153"/>
    <w:rsid w:val="00E901BA"/>
    <w:rsid w:val="00E90ABC"/>
    <w:rsid w:val="00E91183"/>
    <w:rsid w:val="00E91C8C"/>
    <w:rsid w:val="00E91DBB"/>
    <w:rsid w:val="00E9229A"/>
    <w:rsid w:val="00E924CD"/>
    <w:rsid w:val="00E92E4A"/>
    <w:rsid w:val="00E92F0C"/>
    <w:rsid w:val="00E930B3"/>
    <w:rsid w:val="00E9391D"/>
    <w:rsid w:val="00E94093"/>
    <w:rsid w:val="00E943F0"/>
    <w:rsid w:val="00E9449C"/>
    <w:rsid w:val="00E94836"/>
    <w:rsid w:val="00E94913"/>
    <w:rsid w:val="00E9496A"/>
    <w:rsid w:val="00E94EDF"/>
    <w:rsid w:val="00E95189"/>
    <w:rsid w:val="00E95936"/>
    <w:rsid w:val="00E96327"/>
    <w:rsid w:val="00E966B6"/>
    <w:rsid w:val="00E96DB5"/>
    <w:rsid w:val="00E96F04"/>
    <w:rsid w:val="00E96FFD"/>
    <w:rsid w:val="00E973DA"/>
    <w:rsid w:val="00E97476"/>
    <w:rsid w:val="00E97A8C"/>
    <w:rsid w:val="00E97F53"/>
    <w:rsid w:val="00EA0306"/>
    <w:rsid w:val="00EA048C"/>
    <w:rsid w:val="00EA1249"/>
    <w:rsid w:val="00EA15C0"/>
    <w:rsid w:val="00EA2032"/>
    <w:rsid w:val="00EA2273"/>
    <w:rsid w:val="00EA232A"/>
    <w:rsid w:val="00EA2C9C"/>
    <w:rsid w:val="00EA2CA5"/>
    <w:rsid w:val="00EA331E"/>
    <w:rsid w:val="00EA358F"/>
    <w:rsid w:val="00EA35C3"/>
    <w:rsid w:val="00EA3FDB"/>
    <w:rsid w:val="00EA42CB"/>
    <w:rsid w:val="00EA4464"/>
    <w:rsid w:val="00EA44EC"/>
    <w:rsid w:val="00EA4579"/>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321"/>
    <w:rsid w:val="00EB074B"/>
    <w:rsid w:val="00EB0E13"/>
    <w:rsid w:val="00EB16B4"/>
    <w:rsid w:val="00EB18AA"/>
    <w:rsid w:val="00EB1E83"/>
    <w:rsid w:val="00EB2B68"/>
    <w:rsid w:val="00EB2D13"/>
    <w:rsid w:val="00EB2D7F"/>
    <w:rsid w:val="00EB32EF"/>
    <w:rsid w:val="00EB3540"/>
    <w:rsid w:val="00EB3685"/>
    <w:rsid w:val="00EB37BA"/>
    <w:rsid w:val="00EB37FB"/>
    <w:rsid w:val="00EB3E0F"/>
    <w:rsid w:val="00EB3FC1"/>
    <w:rsid w:val="00EB47AA"/>
    <w:rsid w:val="00EB4A17"/>
    <w:rsid w:val="00EB4B57"/>
    <w:rsid w:val="00EB4C4D"/>
    <w:rsid w:val="00EB4DCD"/>
    <w:rsid w:val="00EB4FF3"/>
    <w:rsid w:val="00EB5144"/>
    <w:rsid w:val="00EB51A8"/>
    <w:rsid w:val="00EB5934"/>
    <w:rsid w:val="00EB59CA"/>
    <w:rsid w:val="00EB5A12"/>
    <w:rsid w:val="00EB5EAE"/>
    <w:rsid w:val="00EB633D"/>
    <w:rsid w:val="00EB6489"/>
    <w:rsid w:val="00EB6542"/>
    <w:rsid w:val="00EB697D"/>
    <w:rsid w:val="00EB6D0E"/>
    <w:rsid w:val="00EB6FC3"/>
    <w:rsid w:val="00EB7676"/>
    <w:rsid w:val="00EB7776"/>
    <w:rsid w:val="00EB7978"/>
    <w:rsid w:val="00EC0031"/>
    <w:rsid w:val="00EC0881"/>
    <w:rsid w:val="00EC1232"/>
    <w:rsid w:val="00EC12E8"/>
    <w:rsid w:val="00EC1388"/>
    <w:rsid w:val="00EC1661"/>
    <w:rsid w:val="00EC193C"/>
    <w:rsid w:val="00EC194E"/>
    <w:rsid w:val="00EC1D7D"/>
    <w:rsid w:val="00EC25BE"/>
    <w:rsid w:val="00EC2B79"/>
    <w:rsid w:val="00EC309B"/>
    <w:rsid w:val="00EC3130"/>
    <w:rsid w:val="00EC358D"/>
    <w:rsid w:val="00EC3691"/>
    <w:rsid w:val="00EC3F32"/>
    <w:rsid w:val="00EC4743"/>
    <w:rsid w:val="00EC4A33"/>
    <w:rsid w:val="00EC4AA4"/>
    <w:rsid w:val="00EC4E93"/>
    <w:rsid w:val="00EC55C8"/>
    <w:rsid w:val="00EC5775"/>
    <w:rsid w:val="00EC5984"/>
    <w:rsid w:val="00EC5AFE"/>
    <w:rsid w:val="00EC5C4F"/>
    <w:rsid w:val="00EC62EB"/>
    <w:rsid w:val="00EC6B16"/>
    <w:rsid w:val="00EC6ED1"/>
    <w:rsid w:val="00EC6ED2"/>
    <w:rsid w:val="00EC718D"/>
    <w:rsid w:val="00EC71CF"/>
    <w:rsid w:val="00EC74C9"/>
    <w:rsid w:val="00EC7502"/>
    <w:rsid w:val="00ED0247"/>
    <w:rsid w:val="00ED040E"/>
    <w:rsid w:val="00ED0A25"/>
    <w:rsid w:val="00ED0ED0"/>
    <w:rsid w:val="00ED13B5"/>
    <w:rsid w:val="00ED1556"/>
    <w:rsid w:val="00ED24BF"/>
    <w:rsid w:val="00ED2E10"/>
    <w:rsid w:val="00ED3833"/>
    <w:rsid w:val="00ED4607"/>
    <w:rsid w:val="00ED4BAE"/>
    <w:rsid w:val="00ED5002"/>
    <w:rsid w:val="00ED5075"/>
    <w:rsid w:val="00ED5116"/>
    <w:rsid w:val="00ED5981"/>
    <w:rsid w:val="00ED6462"/>
    <w:rsid w:val="00ED6474"/>
    <w:rsid w:val="00ED68DB"/>
    <w:rsid w:val="00ED6B03"/>
    <w:rsid w:val="00ED6E95"/>
    <w:rsid w:val="00ED7080"/>
    <w:rsid w:val="00ED742B"/>
    <w:rsid w:val="00ED7537"/>
    <w:rsid w:val="00ED75E4"/>
    <w:rsid w:val="00ED789E"/>
    <w:rsid w:val="00ED7AAC"/>
    <w:rsid w:val="00ED7D78"/>
    <w:rsid w:val="00ED7DED"/>
    <w:rsid w:val="00EE04DA"/>
    <w:rsid w:val="00EE084C"/>
    <w:rsid w:val="00EE0F3A"/>
    <w:rsid w:val="00EE16C0"/>
    <w:rsid w:val="00EE1B8F"/>
    <w:rsid w:val="00EE1BA2"/>
    <w:rsid w:val="00EE2048"/>
    <w:rsid w:val="00EE21B7"/>
    <w:rsid w:val="00EE2256"/>
    <w:rsid w:val="00EE247F"/>
    <w:rsid w:val="00EE28D4"/>
    <w:rsid w:val="00EE2C66"/>
    <w:rsid w:val="00EE2CDF"/>
    <w:rsid w:val="00EE31C2"/>
    <w:rsid w:val="00EE3326"/>
    <w:rsid w:val="00EE3C0C"/>
    <w:rsid w:val="00EE4172"/>
    <w:rsid w:val="00EE462B"/>
    <w:rsid w:val="00EE5334"/>
    <w:rsid w:val="00EE597F"/>
    <w:rsid w:val="00EE5A20"/>
    <w:rsid w:val="00EE5E27"/>
    <w:rsid w:val="00EE6112"/>
    <w:rsid w:val="00EE61AF"/>
    <w:rsid w:val="00EE6B26"/>
    <w:rsid w:val="00EE6FB2"/>
    <w:rsid w:val="00EE7405"/>
    <w:rsid w:val="00EE7509"/>
    <w:rsid w:val="00EE7E08"/>
    <w:rsid w:val="00EF0752"/>
    <w:rsid w:val="00EF0965"/>
    <w:rsid w:val="00EF0E15"/>
    <w:rsid w:val="00EF0FBF"/>
    <w:rsid w:val="00EF1503"/>
    <w:rsid w:val="00EF1872"/>
    <w:rsid w:val="00EF1C5E"/>
    <w:rsid w:val="00EF2150"/>
    <w:rsid w:val="00EF2AEA"/>
    <w:rsid w:val="00EF2C72"/>
    <w:rsid w:val="00EF34EB"/>
    <w:rsid w:val="00EF37FA"/>
    <w:rsid w:val="00EF3BDB"/>
    <w:rsid w:val="00EF412E"/>
    <w:rsid w:val="00EF449B"/>
    <w:rsid w:val="00EF4522"/>
    <w:rsid w:val="00EF45E5"/>
    <w:rsid w:val="00EF4B06"/>
    <w:rsid w:val="00EF566B"/>
    <w:rsid w:val="00EF5750"/>
    <w:rsid w:val="00EF5C88"/>
    <w:rsid w:val="00EF5CAE"/>
    <w:rsid w:val="00EF5D64"/>
    <w:rsid w:val="00EF5D6A"/>
    <w:rsid w:val="00EF5D6D"/>
    <w:rsid w:val="00EF639F"/>
    <w:rsid w:val="00EF63EE"/>
    <w:rsid w:val="00EF6542"/>
    <w:rsid w:val="00EF660E"/>
    <w:rsid w:val="00EF669A"/>
    <w:rsid w:val="00EF66A8"/>
    <w:rsid w:val="00EF685B"/>
    <w:rsid w:val="00EF6AC0"/>
    <w:rsid w:val="00EF6E68"/>
    <w:rsid w:val="00EF7751"/>
    <w:rsid w:val="00EF782B"/>
    <w:rsid w:val="00EF7D3E"/>
    <w:rsid w:val="00F0058B"/>
    <w:rsid w:val="00F008F7"/>
    <w:rsid w:val="00F00CC6"/>
    <w:rsid w:val="00F0137D"/>
    <w:rsid w:val="00F01748"/>
    <w:rsid w:val="00F0177C"/>
    <w:rsid w:val="00F01868"/>
    <w:rsid w:val="00F01ABE"/>
    <w:rsid w:val="00F01F6A"/>
    <w:rsid w:val="00F021E4"/>
    <w:rsid w:val="00F0223A"/>
    <w:rsid w:val="00F023EA"/>
    <w:rsid w:val="00F02A50"/>
    <w:rsid w:val="00F02B1B"/>
    <w:rsid w:val="00F02C18"/>
    <w:rsid w:val="00F03221"/>
    <w:rsid w:val="00F032FB"/>
    <w:rsid w:val="00F034B9"/>
    <w:rsid w:val="00F034F5"/>
    <w:rsid w:val="00F0368E"/>
    <w:rsid w:val="00F0378A"/>
    <w:rsid w:val="00F044C9"/>
    <w:rsid w:val="00F052FE"/>
    <w:rsid w:val="00F05D8B"/>
    <w:rsid w:val="00F0645D"/>
    <w:rsid w:val="00F06667"/>
    <w:rsid w:val="00F06863"/>
    <w:rsid w:val="00F06F0B"/>
    <w:rsid w:val="00F072F0"/>
    <w:rsid w:val="00F074B4"/>
    <w:rsid w:val="00F07773"/>
    <w:rsid w:val="00F07778"/>
    <w:rsid w:val="00F07C4D"/>
    <w:rsid w:val="00F07EF1"/>
    <w:rsid w:val="00F10627"/>
    <w:rsid w:val="00F10698"/>
    <w:rsid w:val="00F11856"/>
    <w:rsid w:val="00F119E0"/>
    <w:rsid w:val="00F11B75"/>
    <w:rsid w:val="00F12293"/>
    <w:rsid w:val="00F123EB"/>
    <w:rsid w:val="00F12D4A"/>
    <w:rsid w:val="00F13A4C"/>
    <w:rsid w:val="00F13A57"/>
    <w:rsid w:val="00F149FA"/>
    <w:rsid w:val="00F150D7"/>
    <w:rsid w:val="00F160C0"/>
    <w:rsid w:val="00F162AC"/>
    <w:rsid w:val="00F16447"/>
    <w:rsid w:val="00F16978"/>
    <w:rsid w:val="00F16B1C"/>
    <w:rsid w:val="00F16CCF"/>
    <w:rsid w:val="00F16EA6"/>
    <w:rsid w:val="00F20740"/>
    <w:rsid w:val="00F20868"/>
    <w:rsid w:val="00F21054"/>
    <w:rsid w:val="00F2125B"/>
    <w:rsid w:val="00F21302"/>
    <w:rsid w:val="00F21599"/>
    <w:rsid w:val="00F217D1"/>
    <w:rsid w:val="00F218CD"/>
    <w:rsid w:val="00F22146"/>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238"/>
    <w:rsid w:val="00F316D3"/>
    <w:rsid w:val="00F3177F"/>
    <w:rsid w:val="00F31A5B"/>
    <w:rsid w:val="00F3218A"/>
    <w:rsid w:val="00F321F4"/>
    <w:rsid w:val="00F323AC"/>
    <w:rsid w:val="00F32E48"/>
    <w:rsid w:val="00F344D1"/>
    <w:rsid w:val="00F34C13"/>
    <w:rsid w:val="00F34D62"/>
    <w:rsid w:val="00F351B6"/>
    <w:rsid w:val="00F353BC"/>
    <w:rsid w:val="00F35439"/>
    <w:rsid w:val="00F357B0"/>
    <w:rsid w:val="00F35970"/>
    <w:rsid w:val="00F35C85"/>
    <w:rsid w:val="00F36040"/>
    <w:rsid w:val="00F3608F"/>
    <w:rsid w:val="00F36738"/>
    <w:rsid w:val="00F368EB"/>
    <w:rsid w:val="00F36BDF"/>
    <w:rsid w:val="00F36C03"/>
    <w:rsid w:val="00F36CAD"/>
    <w:rsid w:val="00F36E24"/>
    <w:rsid w:val="00F36F9D"/>
    <w:rsid w:val="00F37206"/>
    <w:rsid w:val="00F37614"/>
    <w:rsid w:val="00F377B6"/>
    <w:rsid w:val="00F37D45"/>
    <w:rsid w:val="00F4067B"/>
    <w:rsid w:val="00F40BE0"/>
    <w:rsid w:val="00F41108"/>
    <w:rsid w:val="00F412E0"/>
    <w:rsid w:val="00F41BAC"/>
    <w:rsid w:val="00F42650"/>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CA8"/>
    <w:rsid w:val="00F500A6"/>
    <w:rsid w:val="00F50451"/>
    <w:rsid w:val="00F5050E"/>
    <w:rsid w:val="00F50577"/>
    <w:rsid w:val="00F5058D"/>
    <w:rsid w:val="00F505C2"/>
    <w:rsid w:val="00F507AC"/>
    <w:rsid w:val="00F511FA"/>
    <w:rsid w:val="00F5145F"/>
    <w:rsid w:val="00F515BF"/>
    <w:rsid w:val="00F5163C"/>
    <w:rsid w:val="00F51786"/>
    <w:rsid w:val="00F51D21"/>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CE9"/>
    <w:rsid w:val="00F62F31"/>
    <w:rsid w:val="00F63C21"/>
    <w:rsid w:val="00F63C9B"/>
    <w:rsid w:val="00F63F10"/>
    <w:rsid w:val="00F64361"/>
    <w:rsid w:val="00F645DC"/>
    <w:rsid w:val="00F64714"/>
    <w:rsid w:val="00F64B9D"/>
    <w:rsid w:val="00F651E9"/>
    <w:rsid w:val="00F664A0"/>
    <w:rsid w:val="00F66D5D"/>
    <w:rsid w:val="00F67B05"/>
    <w:rsid w:val="00F67F15"/>
    <w:rsid w:val="00F7003D"/>
    <w:rsid w:val="00F7007D"/>
    <w:rsid w:val="00F70494"/>
    <w:rsid w:val="00F7065B"/>
    <w:rsid w:val="00F7097D"/>
    <w:rsid w:val="00F70A2B"/>
    <w:rsid w:val="00F70B24"/>
    <w:rsid w:val="00F71654"/>
    <w:rsid w:val="00F717E0"/>
    <w:rsid w:val="00F719D6"/>
    <w:rsid w:val="00F71DB2"/>
    <w:rsid w:val="00F72961"/>
    <w:rsid w:val="00F73770"/>
    <w:rsid w:val="00F73CF1"/>
    <w:rsid w:val="00F73DE0"/>
    <w:rsid w:val="00F74949"/>
    <w:rsid w:val="00F74FF3"/>
    <w:rsid w:val="00F75A8B"/>
    <w:rsid w:val="00F75D11"/>
    <w:rsid w:val="00F75EED"/>
    <w:rsid w:val="00F75F80"/>
    <w:rsid w:val="00F76BB0"/>
    <w:rsid w:val="00F76D65"/>
    <w:rsid w:val="00F76D67"/>
    <w:rsid w:val="00F76FAB"/>
    <w:rsid w:val="00F7783E"/>
    <w:rsid w:val="00F77EC1"/>
    <w:rsid w:val="00F802D9"/>
    <w:rsid w:val="00F802E4"/>
    <w:rsid w:val="00F810E6"/>
    <w:rsid w:val="00F81133"/>
    <w:rsid w:val="00F812B4"/>
    <w:rsid w:val="00F812DF"/>
    <w:rsid w:val="00F8153A"/>
    <w:rsid w:val="00F816FE"/>
    <w:rsid w:val="00F82557"/>
    <w:rsid w:val="00F82D4F"/>
    <w:rsid w:val="00F82D74"/>
    <w:rsid w:val="00F82DD6"/>
    <w:rsid w:val="00F839E2"/>
    <w:rsid w:val="00F83B03"/>
    <w:rsid w:val="00F83C32"/>
    <w:rsid w:val="00F84013"/>
    <w:rsid w:val="00F85554"/>
    <w:rsid w:val="00F8595C"/>
    <w:rsid w:val="00F85F50"/>
    <w:rsid w:val="00F85FA9"/>
    <w:rsid w:val="00F861FD"/>
    <w:rsid w:val="00F86435"/>
    <w:rsid w:val="00F86552"/>
    <w:rsid w:val="00F867A8"/>
    <w:rsid w:val="00F86A14"/>
    <w:rsid w:val="00F86E66"/>
    <w:rsid w:val="00F86F5B"/>
    <w:rsid w:val="00F875BF"/>
    <w:rsid w:val="00F875DA"/>
    <w:rsid w:val="00F87E1A"/>
    <w:rsid w:val="00F90187"/>
    <w:rsid w:val="00F901D1"/>
    <w:rsid w:val="00F90272"/>
    <w:rsid w:val="00F90635"/>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C79"/>
    <w:rsid w:val="00F952D2"/>
    <w:rsid w:val="00F9551B"/>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8"/>
    <w:rsid w:val="00FA0E8B"/>
    <w:rsid w:val="00FA144D"/>
    <w:rsid w:val="00FA17F5"/>
    <w:rsid w:val="00FA180E"/>
    <w:rsid w:val="00FA1BD6"/>
    <w:rsid w:val="00FA1CA1"/>
    <w:rsid w:val="00FA24D9"/>
    <w:rsid w:val="00FA2B01"/>
    <w:rsid w:val="00FA2BA9"/>
    <w:rsid w:val="00FA2F21"/>
    <w:rsid w:val="00FA30CC"/>
    <w:rsid w:val="00FA3470"/>
    <w:rsid w:val="00FA35CF"/>
    <w:rsid w:val="00FA3626"/>
    <w:rsid w:val="00FA4D8C"/>
    <w:rsid w:val="00FA58E2"/>
    <w:rsid w:val="00FA5CB7"/>
    <w:rsid w:val="00FA6236"/>
    <w:rsid w:val="00FA65A6"/>
    <w:rsid w:val="00FA65F7"/>
    <w:rsid w:val="00FA6779"/>
    <w:rsid w:val="00FA679D"/>
    <w:rsid w:val="00FA6AF7"/>
    <w:rsid w:val="00FA7020"/>
    <w:rsid w:val="00FA731E"/>
    <w:rsid w:val="00FB0093"/>
    <w:rsid w:val="00FB009B"/>
    <w:rsid w:val="00FB02F7"/>
    <w:rsid w:val="00FB03D1"/>
    <w:rsid w:val="00FB0492"/>
    <w:rsid w:val="00FB0580"/>
    <w:rsid w:val="00FB0A0F"/>
    <w:rsid w:val="00FB0AA6"/>
    <w:rsid w:val="00FB0D98"/>
    <w:rsid w:val="00FB0E5A"/>
    <w:rsid w:val="00FB1148"/>
    <w:rsid w:val="00FB1789"/>
    <w:rsid w:val="00FB1CC2"/>
    <w:rsid w:val="00FB1D63"/>
    <w:rsid w:val="00FB2756"/>
    <w:rsid w:val="00FB27D8"/>
    <w:rsid w:val="00FB2AD7"/>
    <w:rsid w:val="00FB2F0C"/>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E59"/>
    <w:rsid w:val="00FB6344"/>
    <w:rsid w:val="00FB63CE"/>
    <w:rsid w:val="00FB6534"/>
    <w:rsid w:val="00FB68B4"/>
    <w:rsid w:val="00FB6CD1"/>
    <w:rsid w:val="00FB6EF3"/>
    <w:rsid w:val="00FB74FC"/>
    <w:rsid w:val="00FB7B21"/>
    <w:rsid w:val="00FC0A77"/>
    <w:rsid w:val="00FC0E4F"/>
    <w:rsid w:val="00FC0F81"/>
    <w:rsid w:val="00FC1113"/>
    <w:rsid w:val="00FC166B"/>
    <w:rsid w:val="00FC1797"/>
    <w:rsid w:val="00FC1AFB"/>
    <w:rsid w:val="00FC2029"/>
    <w:rsid w:val="00FC212A"/>
    <w:rsid w:val="00FC23D4"/>
    <w:rsid w:val="00FC28EC"/>
    <w:rsid w:val="00FC2C3B"/>
    <w:rsid w:val="00FC2DD2"/>
    <w:rsid w:val="00FC348B"/>
    <w:rsid w:val="00FC38F7"/>
    <w:rsid w:val="00FC4032"/>
    <w:rsid w:val="00FC4325"/>
    <w:rsid w:val="00FC48F9"/>
    <w:rsid w:val="00FC4A17"/>
    <w:rsid w:val="00FC4C4A"/>
    <w:rsid w:val="00FC4C90"/>
    <w:rsid w:val="00FC4E91"/>
    <w:rsid w:val="00FC5D53"/>
    <w:rsid w:val="00FC5E2D"/>
    <w:rsid w:val="00FC662A"/>
    <w:rsid w:val="00FC6A87"/>
    <w:rsid w:val="00FC7032"/>
    <w:rsid w:val="00FC718D"/>
    <w:rsid w:val="00FC7471"/>
    <w:rsid w:val="00FC74F8"/>
    <w:rsid w:val="00FC7632"/>
    <w:rsid w:val="00FD033A"/>
    <w:rsid w:val="00FD03CC"/>
    <w:rsid w:val="00FD049E"/>
    <w:rsid w:val="00FD0AD2"/>
    <w:rsid w:val="00FD0D01"/>
    <w:rsid w:val="00FD0D04"/>
    <w:rsid w:val="00FD1566"/>
    <w:rsid w:val="00FD174F"/>
    <w:rsid w:val="00FD18B4"/>
    <w:rsid w:val="00FD1F3A"/>
    <w:rsid w:val="00FD1F6D"/>
    <w:rsid w:val="00FD2173"/>
    <w:rsid w:val="00FD2497"/>
    <w:rsid w:val="00FD24BD"/>
    <w:rsid w:val="00FD28B3"/>
    <w:rsid w:val="00FD3676"/>
    <w:rsid w:val="00FD4098"/>
    <w:rsid w:val="00FD40C4"/>
    <w:rsid w:val="00FD4262"/>
    <w:rsid w:val="00FD49E3"/>
    <w:rsid w:val="00FD4C6D"/>
    <w:rsid w:val="00FD4E41"/>
    <w:rsid w:val="00FD5704"/>
    <w:rsid w:val="00FD5ACF"/>
    <w:rsid w:val="00FD5FCD"/>
    <w:rsid w:val="00FD6020"/>
    <w:rsid w:val="00FD64D2"/>
    <w:rsid w:val="00FD6846"/>
    <w:rsid w:val="00FD7495"/>
    <w:rsid w:val="00FD7E5E"/>
    <w:rsid w:val="00FE018D"/>
    <w:rsid w:val="00FE02C0"/>
    <w:rsid w:val="00FE0642"/>
    <w:rsid w:val="00FE06ED"/>
    <w:rsid w:val="00FE08BE"/>
    <w:rsid w:val="00FE0A17"/>
    <w:rsid w:val="00FE12F3"/>
    <w:rsid w:val="00FE19C7"/>
    <w:rsid w:val="00FE1CE7"/>
    <w:rsid w:val="00FE214A"/>
    <w:rsid w:val="00FE219D"/>
    <w:rsid w:val="00FE2286"/>
    <w:rsid w:val="00FE22E9"/>
    <w:rsid w:val="00FE2C74"/>
    <w:rsid w:val="00FE2D1D"/>
    <w:rsid w:val="00FE2DD6"/>
    <w:rsid w:val="00FE346C"/>
    <w:rsid w:val="00FE3557"/>
    <w:rsid w:val="00FE3664"/>
    <w:rsid w:val="00FE3673"/>
    <w:rsid w:val="00FE3BF0"/>
    <w:rsid w:val="00FE4377"/>
    <w:rsid w:val="00FE49AB"/>
    <w:rsid w:val="00FE4B71"/>
    <w:rsid w:val="00FE532A"/>
    <w:rsid w:val="00FE5A05"/>
    <w:rsid w:val="00FE5D24"/>
    <w:rsid w:val="00FE5F19"/>
    <w:rsid w:val="00FE63DB"/>
    <w:rsid w:val="00FE6507"/>
    <w:rsid w:val="00FE6BAC"/>
    <w:rsid w:val="00FE6DB2"/>
    <w:rsid w:val="00FE7ACC"/>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491"/>
    <w:rsid w:val="00FF34FB"/>
    <w:rsid w:val="00FF4257"/>
    <w:rsid w:val="00FF4562"/>
    <w:rsid w:val="00FF47B8"/>
    <w:rsid w:val="00FF5200"/>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1361146">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1827125">
      <w:bodyDiv w:val="1"/>
      <w:marLeft w:val="0"/>
      <w:marRight w:val="0"/>
      <w:marTop w:val="0"/>
      <w:marBottom w:val="0"/>
      <w:divBdr>
        <w:top w:val="none" w:sz="0" w:space="0" w:color="auto"/>
        <w:left w:val="none" w:sz="0" w:space="0" w:color="auto"/>
        <w:bottom w:val="none" w:sz="0" w:space="0" w:color="auto"/>
        <w:right w:val="none" w:sz="0" w:space="0" w:color="auto"/>
      </w:divBdr>
      <w:divsChild>
        <w:div w:id="107313846">
          <w:marLeft w:val="0"/>
          <w:marRight w:val="0"/>
          <w:marTop w:val="0"/>
          <w:marBottom w:val="0"/>
          <w:divBdr>
            <w:top w:val="none" w:sz="0" w:space="0" w:color="auto"/>
            <w:left w:val="none" w:sz="0" w:space="0" w:color="auto"/>
            <w:bottom w:val="none" w:sz="0" w:space="0" w:color="auto"/>
            <w:right w:val="none" w:sz="0" w:space="0" w:color="auto"/>
          </w:divBdr>
          <w:divsChild>
            <w:div w:id="528449024">
              <w:marLeft w:val="0"/>
              <w:marRight w:val="0"/>
              <w:marTop w:val="0"/>
              <w:marBottom w:val="0"/>
              <w:divBdr>
                <w:top w:val="none" w:sz="0" w:space="0" w:color="auto"/>
                <w:left w:val="none" w:sz="0" w:space="0" w:color="auto"/>
                <w:bottom w:val="none" w:sz="0" w:space="0" w:color="auto"/>
                <w:right w:val="none" w:sz="0" w:space="0" w:color="auto"/>
              </w:divBdr>
              <w:divsChild>
                <w:div w:id="2006274728">
                  <w:marLeft w:val="0"/>
                  <w:marRight w:val="0"/>
                  <w:marTop w:val="0"/>
                  <w:marBottom w:val="0"/>
                  <w:divBdr>
                    <w:top w:val="none" w:sz="0" w:space="0" w:color="auto"/>
                    <w:left w:val="none" w:sz="0" w:space="0" w:color="auto"/>
                    <w:bottom w:val="none" w:sz="0" w:space="0" w:color="auto"/>
                    <w:right w:val="none" w:sz="0" w:space="0" w:color="auto"/>
                  </w:divBdr>
                </w:div>
              </w:divsChild>
            </w:div>
            <w:div w:id="1878856278">
              <w:marLeft w:val="0"/>
              <w:marRight w:val="0"/>
              <w:marTop w:val="0"/>
              <w:marBottom w:val="0"/>
              <w:divBdr>
                <w:top w:val="none" w:sz="0" w:space="0" w:color="auto"/>
                <w:left w:val="none" w:sz="0" w:space="0" w:color="auto"/>
                <w:bottom w:val="none" w:sz="0" w:space="0" w:color="auto"/>
                <w:right w:val="none" w:sz="0" w:space="0" w:color="auto"/>
              </w:divBdr>
            </w:div>
          </w:divsChild>
        </w:div>
        <w:div w:id="140269528">
          <w:marLeft w:val="0"/>
          <w:marRight w:val="0"/>
          <w:marTop w:val="0"/>
          <w:marBottom w:val="0"/>
          <w:divBdr>
            <w:top w:val="none" w:sz="0" w:space="0" w:color="auto"/>
            <w:left w:val="none" w:sz="0" w:space="0" w:color="auto"/>
            <w:bottom w:val="none" w:sz="0" w:space="0" w:color="auto"/>
            <w:right w:val="none" w:sz="0" w:space="0" w:color="auto"/>
          </w:divBdr>
          <w:divsChild>
            <w:div w:id="229467423">
              <w:marLeft w:val="0"/>
              <w:marRight w:val="0"/>
              <w:marTop w:val="0"/>
              <w:marBottom w:val="0"/>
              <w:divBdr>
                <w:top w:val="none" w:sz="0" w:space="0" w:color="auto"/>
                <w:left w:val="none" w:sz="0" w:space="0" w:color="auto"/>
                <w:bottom w:val="none" w:sz="0" w:space="0" w:color="auto"/>
                <w:right w:val="none" w:sz="0" w:space="0" w:color="auto"/>
              </w:divBdr>
            </w:div>
          </w:divsChild>
        </w:div>
        <w:div w:id="142620963">
          <w:marLeft w:val="0"/>
          <w:marRight w:val="0"/>
          <w:marTop w:val="0"/>
          <w:marBottom w:val="0"/>
          <w:divBdr>
            <w:top w:val="none" w:sz="0" w:space="0" w:color="auto"/>
            <w:left w:val="none" w:sz="0" w:space="0" w:color="auto"/>
            <w:bottom w:val="none" w:sz="0" w:space="0" w:color="auto"/>
            <w:right w:val="none" w:sz="0" w:space="0" w:color="auto"/>
          </w:divBdr>
          <w:divsChild>
            <w:div w:id="343097463">
              <w:marLeft w:val="0"/>
              <w:marRight w:val="0"/>
              <w:marTop w:val="0"/>
              <w:marBottom w:val="0"/>
              <w:divBdr>
                <w:top w:val="none" w:sz="0" w:space="0" w:color="auto"/>
                <w:left w:val="none" w:sz="0" w:space="0" w:color="auto"/>
                <w:bottom w:val="none" w:sz="0" w:space="0" w:color="auto"/>
                <w:right w:val="none" w:sz="0" w:space="0" w:color="auto"/>
              </w:divBdr>
            </w:div>
            <w:div w:id="2144536383">
              <w:marLeft w:val="0"/>
              <w:marRight w:val="0"/>
              <w:marTop w:val="0"/>
              <w:marBottom w:val="0"/>
              <w:divBdr>
                <w:top w:val="none" w:sz="0" w:space="0" w:color="auto"/>
                <w:left w:val="none" w:sz="0" w:space="0" w:color="auto"/>
                <w:bottom w:val="none" w:sz="0" w:space="0" w:color="auto"/>
                <w:right w:val="none" w:sz="0" w:space="0" w:color="auto"/>
              </w:divBdr>
              <w:divsChild>
                <w:div w:id="9803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590">
          <w:marLeft w:val="0"/>
          <w:marRight w:val="0"/>
          <w:marTop w:val="0"/>
          <w:marBottom w:val="0"/>
          <w:divBdr>
            <w:top w:val="none" w:sz="0" w:space="0" w:color="auto"/>
            <w:left w:val="none" w:sz="0" w:space="0" w:color="auto"/>
            <w:bottom w:val="none" w:sz="0" w:space="0" w:color="auto"/>
            <w:right w:val="none" w:sz="0" w:space="0" w:color="auto"/>
          </w:divBdr>
          <w:divsChild>
            <w:div w:id="1873689032">
              <w:marLeft w:val="0"/>
              <w:marRight w:val="0"/>
              <w:marTop w:val="0"/>
              <w:marBottom w:val="0"/>
              <w:divBdr>
                <w:top w:val="none" w:sz="0" w:space="0" w:color="auto"/>
                <w:left w:val="none" w:sz="0" w:space="0" w:color="auto"/>
                <w:bottom w:val="none" w:sz="0" w:space="0" w:color="auto"/>
                <w:right w:val="none" w:sz="0" w:space="0" w:color="auto"/>
              </w:divBdr>
            </w:div>
            <w:div w:id="2100833480">
              <w:marLeft w:val="0"/>
              <w:marRight w:val="0"/>
              <w:marTop w:val="0"/>
              <w:marBottom w:val="0"/>
              <w:divBdr>
                <w:top w:val="none" w:sz="0" w:space="0" w:color="auto"/>
                <w:left w:val="none" w:sz="0" w:space="0" w:color="auto"/>
                <w:bottom w:val="none" w:sz="0" w:space="0" w:color="auto"/>
                <w:right w:val="none" w:sz="0" w:space="0" w:color="auto"/>
              </w:divBdr>
              <w:divsChild>
                <w:div w:id="133773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9802">
          <w:marLeft w:val="0"/>
          <w:marRight w:val="0"/>
          <w:marTop w:val="0"/>
          <w:marBottom w:val="0"/>
          <w:divBdr>
            <w:top w:val="none" w:sz="0" w:space="0" w:color="auto"/>
            <w:left w:val="none" w:sz="0" w:space="0" w:color="auto"/>
            <w:bottom w:val="none" w:sz="0" w:space="0" w:color="auto"/>
            <w:right w:val="none" w:sz="0" w:space="0" w:color="auto"/>
          </w:divBdr>
          <w:divsChild>
            <w:div w:id="1029992876">
              <w:marLeft w:val="0"/>
              <w:marRight w:val="0"/>
              <w:marTop w:val="0"/>
              <w:marBottom w:val="0"/>
              <w:divBdr>
                <w:top w:val="none" w:sz="0" w:space="0" w:color="auto"/>
                <w:left w:val="none" w:sz="0" w:space="0" w:color="auto"/>
                <w:bottom w:val="none" w:sz="0" w:space="0" w:color="auto"/>
                <w:right w:val="none" w:sz="0" w:space="0" w:color="auto"/>
              </w:divBdr>
            </w:div>
          </w:divsChild>
        </w:div>
        <w:div w:id="200828455">
          <w:marLeft w:val="0"/>
          <w:marRight w:val="0"/>
          <w:marTop w:val="0"/>
          <w:marBottom w:val="0"/>
          <w:divBdr>
            <w:top w:val="none" w:sz="0" w:space="0" w:color="auto"/>
            <w:left w:val="none" w:sz="0" w:space="0" w:color="auto"/>
            <w:bottom w:val="none" w:sz="0" w:space="0" w:color="auto"/>
            <w:right w:val="none" w:sz="0" w:space="0" w:color="auto"/>
          </w:divBdr>
          <w:divsChild>
            <w:div w:id="197007715">
              <w:marLeft w:val="0"/>
              <w:marRight w:val="0"/>
              <w:marTop w:val="0"/>
              <w:marBottom w:val="0"/>
              <w:divBdr>
                <w:top w:val="none" w:sz="0" w:space="0" w:color="auto"/>
                <w:left w:val="none" w:sz="0" w:space="0" w:color="auto"/>
                <w:bottom w:val="none" w:sz="0" w:space="0" w:color="auto"/>
                <w:right w:val="none" w:sz="0" w:space="0" w:color="auto"/>
              </w:divBdr>
            </w:div>
          </w:divsChild>
        </w:div>
        <w:div w:id="202788835">
          <w:marLeft w:val="0"/>
          <w:marRight w:val="0"/>
          <w:marTop w:val="0"/>
          <w:marBottom w:val="0"/>
          <w:divBdr>
            <w:top w:val="none" w:sz="0" w:space="0" w:color="auto"/>
            <w:left w:val="none" w:sz="0" w:space="0" w:color="auto"/>
            <w:bottom w:val="none" w:sz="0" w:space="0" w:color="auto"/>
            <w:right w:val="none" w:sz="0" w:space="0" w:color="auto"/>
          </w:divBdr>
          <w:divsChild>
            <w:div w:id="230891215">
              <w:marLeft w:val="0"/>
              <w:marRight w:val="0"/>
              <w:marTop w:val="0"/>
              <w:marBottom w:val="0"/>
              <w:divBdr>
                <w:top w:val="none" w:sz="0" w:space="0" w:color="auto"/>
                <w:left w:val="none" w:sz="0" w:space="0" w:color="auto"/>
                <w:bottom w:val="none" w:sz="0" w:space="0" w:color="auto"/>
                <w:right w:val="none" w:sz="0" w:space="0" w:color="auto"/>
              </w:divBdr>
            </w:div>
          </w:divsChild>
        </w:div>
        <w:div w:id="253125129">
          <w:marLeft w:val="0"/>
          <w:marRight w:val="0"/>
          <w:marTop w:val="0"/>
          <w:marBottom w:val="0"/>
          <w:divBdr>
            <w:top w:val="none" w:sz="0" w:space="0" w:color="auto"/>
            <w:left w:val="none" w:sz="0" w:space="0" w:color="auto"/>
            <w:bottom w:val="none" w:sz="0" w:space="0" w:color="auto"/>
            <w:right w:val="none" w:sz="0" w:space="0" w:color="auto"/>
          </w:divBdr>
          <w:divsChild>
            <w:div w:id="147484375">
              <w:marLeft w:val="0"/>
              <w:marRight w:val="0"/>
              <w:marTop w:val="0"/>
              <w:marBottom w:val="0"/>
              <w:divBdr>
                <w:top w:val="none" w:sz="0" w:space="0" w:color="auto"/>
                <w:left w:val="none" w:sz="0" w:space="0" w:color="auto"/>
                <w:bottom w:val="none" w:sz="0" w:space="0" w:color="auto"/>
                <w:right w:val="none" w:sz="0" w:space="0" w:color="auto"/>
              </w:divBdr>
            </w:div>
            <w:div w:id="1995403976">
              <w:marLeft w:val="0"/>
              <w:marRight w:val="0"/>
              <w:marTop w:val="0"/>
              <w:marBottom w:val="0"/>
              <w:divBdr>
                <w:top w:val="none" w:sz="0" w:space="0" w:color="auto"/>
                <w:left w:val="none" w:sz="0" w:space="0" w:color="auto"/>
                <w:bottom w:val="none" w:sz="0" w:space="0" w:color="auto"/>
                <w:right w:val="none" w:sz="0" w:space="0" w:color="auto"/>
              </w:divBdr>
              <w:divsChild>
                <w:div w:id="14953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5302">
          <w:marLeft w:val="0"/>
          <w:marRight w:val="0"/>
          <w:marTop w:val="0"/>
          <w:marBottom w:val="0"/>
          <w:divBdr>
            <w:top w:val="none" w:sz="0" w:space="0" w:color="auto"/>
            <w:left w:val="none" w:sz="0" w:space="0" w:color="auto"/>
            <w:bottom w:val="none" w:sz="0" w:space="0" w:color="auto"/>
            <w:right w:val="none" w:sz="0" w:space="0" w:color="auto"/>
          </w:divBdr>
          <w:divsChild>
            <w:div w:id="2105152087">
              <w:marLeft w:val="0"/>
              <w:marRight w:val="0"/>
              <w:marTop w:val="0"/>
              <w:marBottom w:val="0"/>
              <w:divBdr>
                <w:top w:val="none" w:sz="0" w:space="0" w:color="auto"/>
                <w:left w:val="none" w:sz="0" w:space="0" w:color="auto"/>
                <w:bottom w:val="none" w:sz="0" w:space="0" w:color="auto"/>
                <w:right w:val="none" w:sz="0" w:space="0" w:color="auto"/>
              </w:divBdr>
            </w:div>
          </w:divsChild>
        </w:div>
        <w:div w:id="315652758">
          <w:marLeft w:val="0"/>
          <w:marRight w:val="0"/>
          <w:marTop w:val="0"/>
          <w:marBottom w:val="0"/>
          <w:divBdr>
            <w:top w:val="none" w:sz="0" w:space="0" w:color="auto"/>
            <w:left w:val="none" w:sz="0" w:space="0" w:color="auto"/>
            <w:bottom w:val="none" w:sz="0" w:space="0" w:color="auto"/>
            <w:right w:val="none" w:sz="0" w:space="0" w:color="auto"/>
          </w:divBdr>
          <w:divsChild>
            <w:div w:id="478617262">
              <w:marLeft w:val="0"/>
              <w:marRight w:val="0"/>
              <w:marTop w:val="0"/>
              <w:marBottom w:val="0"/>
              <w:divBdr>
                <w:top w:val="none" w:sz="0" w:space="0" w:color="auto"/>
                <w:left w:val="none" w:sz="0" w:space="0" w:color="auto"/>
                <w:bottom w:val="none" w:sz="0" w:space="0" w:color="auto"/>
                <w:right w:val="none" w:sz="0" w:space="0" w:color="auto"/>
              </w:divBdr>
              <w:divsChild>
                <w:div w:id="1156073851">
                  <w:marLeft w:val="0"/>
                  <w:marRight w:val="0"/>
                  <w:marTop w:val="0"/>
                  <w:marBottom w:val="0"/>
                  <w:divBdr>
                    <w:top w:val="none" w:sz="0" w:space="0" w:color="auto"/>
                    <w:left w:val="none" w:sz="0" w:space="0" w:color="auto"/>
                    <w:bottom w:val="none" w:sz="0" w:space="0" w:color="auto"/>
                    <w:right w:val="none" w:sz="0" w:space="0" w:color="auto"/>
                  </w:divBdr>
                </w:div>
              </w:divsChild>
            </w:div>
            <w:div w:id="930241321">
              <w:marLeft w:val="0"/>
              <w:marRight w:val="0"/>
              <w:marTop w:val="0"/>
              <w:marBottom w:val="0"/>
              <w:divBdr>
                <w:top w:val="none" w:sz="0" w:space="0" w:color="auto"/>
                <w:left w:val="none" w:sz="0" w:space="0" w:color="auto"/>
                <w:bottom w:val="none" w:sz="0" w:space="0" w:color="auto"/>
                <w:right w:val="none" w:sz="0" w:space="0" w:color="auto"/>
              </w:divBdr>
            </w:div>
          </w:divsChild>
        </w:div>
        <w:div w:id="462039479">
          <w:marLeft w:val="0"/>
          <w:marRight w:val="0"/>
          <w:marTop w:val="0"/>
          <w:marBottom w:val="0"/>
          <w:divBdr>
            <w:top w:val="none" w:sz="0" w:space="0" w:color="auto"/>
            <w:left w:val="none" w:sz="0" w:space="0" w:color="auto"/>
            <w:bottom w:val="none" w:sz="0" w:space="0" w:color="auto"/>
            <w:right w:val="none" w:sz="0" w:space="0" w:color="auto"/>
          </w:divBdr>
          <w:divsChild>
            <w:div w:id="820080231">
              <w:marLeft w:val="0"/>
              <w:marRight w:val="0"/>
              <w:marTop w:val="0"/>
              <w:marBottom w:val="0"/>
              <w:divBdr>
                <w:top w:val="none" w:sz="0" w:space="0" w:color="auto"/>
                <w:left w:val="none" w:sz="0" w:space="0" w:color="auto"/>
                <w:bottom w:val="none" w:sz="0" w:space="0" w:color="auto"/>
                <w:right w:val="none" w:sz="0" w:space="0" w:color="auto"/>
              </w:divBdr>
            </w:div>
            <w:div w:id="1714118176">
              <w:marLeft w:val="0"/>
              <w:marRight w:val="0"/>
              <w:marTop w:val="0"/>
              <w:marBottom w:val="0"/>
              <w:divBdr>
                <w:top w:val="none" w:sz="0" w:space="0" w:color="auto"/>
                <w:left w:val="none" w:sz="0" w:space="0" w:color="auto"/>
                <w:bottom w:val="none" w:sz="0" w:space="0" w:color="auto"/>
                <w:right w:val="none" w:sz="0" w:space="0" w:color="auto"/>
              </w:divBdr>
              <w:divsChild>
                <w:div w:id="3876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324954">
          <w:marLeft w:val="0"/>
          <w:marRight w:val="0"/>
          <w:marTop w:val="0"/>
          <w:marBottom w:val="0"/>
          <w:divBdr>
            <w:top w:val="none" w:sz="0" w:space="0" w:color="auto"/>
            <w:left w:val="none" w:sz="0" w:space="0" w:color="auto"/>
            <w:bottom w:val="none" w:sz="0" w:space="0" w:color="auto"/>
            <w:right w:val="none" w:sz="0" w:space="0" w:color="auto"/>
          </w:divBdr>
          <w:divsChild>
            <w:div w:id="996961145">
              <w:marLeft w:val="0"/>
              <w:marRight w:val="0"/>
              <w:marTop w:val="0"/>
              <w:marBottom w:val="0"/>
              <w:divBdr>
                <w:top w:val="none" w:sz="0" w:space="0" w:color="auto"/>
                <w:left w:val="none" w:sz="0" w:space="0" w:color="auto"/>
                <w:bottom w:val="none" w:sz="0" w:space="0" w:color="auto"/>
                <w:right w:val="none" w:sz="0" w:space="0" w:color="auto"/>
              </w:divBdr>
            </w:div>
            <w:div w:id="1147430716">
              <w:marLeft w:val="0"/>
              <w:marRight w:val="0"/>
              <w:marTop w:val="0"/>
              <w:marBottom w:val="0"/>
              <w:divBdr>
                <w:top w:val="none" w:sz="0" w:space="0" w:color="auto"/>
                <w:left w:val="none" w:sz="0" w:space="0" w:color="auto"/>
                <w:bottom w:val="none" w:sz="0" w:space="0" w:color="auto"/>
                <w:right w:val="none" w:sz="0" w:space="0" w:color="auto"/>
              </w:divBdr>
              <w:divsChild>
                <w:div w:id="50104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948">
          <w:marLeft w:val="0"/>
          <w:marRight w:val="0"/>
          <w:marTop w:val="0"/>
          <w:marBottom w:val="0"/>
          <w:divBdr>
            <w:top w:val="none" w:sz="0" w:space="0" w:color="auto"/>
            <w:left w:val="none" w:sz="0" w:space="0" w:color="auto"/>
            <w:bottom w:val="none" w:sz="0" w:space="0" w:color="auto"/>
            <w:right w:val="none" w:sz="0" w:space="0" w:color="auto"/>
          </w:divBdr>
          <w:divsChild>
            <w:div w:id="153687045">
              <w:marLeft w:val="0"/>
              <w:marRight w:val="0"/>
              <w:marTop w:val="0"/>
              <w:marBottom w:val="0"/>
              <w:divBdr>
                <w:top w:val="none" w:sz="0" w:space="0" w:color="auto"/>
                <w:left w:val="none" w:sz="0" w:space="0" w:color="auto"/>
                <w:bottom w:val="none" w:sz="0" w:space="0" w:color="auto"/>
                <w:right w:val="none" w:sz="0" w:space="0" w:color="auto"/>
              </w:divBdr>
              <w:divsChild>
                <w:div w:id="10879710">
                  <w:marLeft w:val="0"/>
                  <w:marRight w:val="0"/>
                  <w:marTop w:val="0"/>
                  <w:marBottom w:val="0"/>
                  <w:divBdr>
                    <w:top w:val="none" w:sz="0" w:space="0" w:color="auto"/>
                    <w:left w:val="none" w:sz="0" w:space="0" w:color="auto"/>
                    <w:bottom w:val="none" w:sz="0" w:space="0" w:color="auto"/>
                    <w:right w:val="none" w:sz="0" w:space="0" w:color="auto"/>
                  </w:divBdr>
                </w:div>
              </w:divsChild>
            </w:div>
            <w:div w:id="895551188">
              <w:marLeft w:val="0"/>
              <w:marRight w:val="0"/>
              <w:marTop w:val="0"/>
              <w:marBottom w:val="0"/>
              <w:divBdr>
                <w:top w:val="none" w:sz="0" w:space="0" w:color="auto"/>
                <w:left w:val="none" w:sz="0" w:space="0" w:color="auto"/>
                <w:bottom w:val="none" w:sz="0" w:space="0" w:color="auto"/>
                <w:right w:val="none" w:sz="0" w:space="0" w:color="auto"/>
              </w:divBdr>
            </w:div>
          </w:divsChild>
        </w:div>
        <w:div w:id="710112474">
          <w:marLeft w:val="0"/>
          <w:marRight w:val="0"/>
          <w:marTop w:val="0"/>
          <w:marBottom w:val="0"/>
          <w:divBdr>
            <w:top w:val="none" w:sz="0" w:space="0" w:color="auto"/>
            <w:left w:val="none" w:sz="0" w:space="0" w:color="auto"/>
            <w:bottom w:val="none" w:sz="0" w:space="0" w:color="auto"/>
            <w:right w:val="none" w:sz="0" w:space="0" w:color="auto"/>
          </w:divBdr>
          <w:divsChild>
            <w:div w:id="819737642">
              <w:marLeft w:val="0"/>
              <w:marRight w:val="0"/>
              <w:marTop w:val="0"/>
              <w:marBottom w:val="0"/>
              <w:divBdr>
                <w:top w:val="none" w:sz="0" w:space="0" w:color="auto"/>
                <w:left w:val="none" w:sz="0" w:space="0" w:color="auto"/>
                <w:bottom w:val="none" w:sz="0" w:space="0" w:color="auto"/>
                <w:right w:val="none" w:sz="0" w:space="0" w:color="auto"/>
              </w:divBdr>
            </w:div>
            <w:div w:id="1691686164">
              <w:marLeft w:val="0"/>
              <w:marRight w:val="0"/>
              <w:marTop w:val="0"/>
              <w:marBottom w:val="0"/>
              <w:divBdr>
                <w:top w:val="none" w:sz="0" w:space="0" w:color="auto"/>
                <w:left w:val="none" w:sz="0" w:space="0" w:color="auto"/>
                <w:bottom w:val="none" w:sz="0" w:space="0" w:color="auto"/>
                <w:right w:val="none" w:sz="0" w:space="0" w:color="auto"/>
              </w:divBdr>
              <w:divsChild>
                <w:div w:id="13356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97257">
          <w:marLeft w:val="0"/>
          <w:marRight w:val="0"/>
          <w:marTop w:val="0"/>
          <w:marBottom w:val="0"/>
          <w:divBdr>
            <w:top w:val="none" w:sz="0" w:space="0" w:color="auto"/>
            <w:left w:val="none" w:sz="0" w:space="0" w:color="auto"/>
            <w:bottom w:val="none" w:sz="0" w:space="0" w:color="auto"/>
            <w:right w:val="none" w:sz="0" w:space="0" w:color="auto"/>
          </w:divBdr>
          <w:divsChild>
            <w:div w:id="910382824">
              <w:marLeft w:val="0"/>
              <w:marRight w:val="0"/>
              <w:marTop w:val="0"/>
              <w:marBottom w:val="0"/>
              <w:divBdr>
                <w:top w:val="none" w:sz="0" w:space="0" w:color="auto"/>
                <w:left w:val="none" w:sz="0" w:space="0" w:color="auto"/>
                <w:bottom w:val="none" w:sz="0" w:space="0" w:color="auto"/>
                <w:right w:val="none" w:sz="0" w:space="0" w:color="auto"/>
              </w:divBdr>
              <w:divsChild>
                <w:div w:id="1887715571">
                  <w:marLeft w:val="0"/>
                  <w:marRight w:val="0"/>
                  <w:marTop w:val="0"/>
                  <w:marBottom w:val="0"/>
                  <w:divBdr>
                    <w:top w:val="none" w:sz="0" w:space="0" w:color="auto"/>
                    <w:left w:val="none" w:sz="0" w:space="0" w:color="auto"/>
                    <w:bottom w:val="none" w:sz="0" w:space="0" w:color="auto"/>
                    <w:right w:val="none" w:sz="0" w:space="0" w:color="auto"/>
                  </w:divBdr>
                </w:div>
              </w:divsChild>
            </w:div>
            <w:div w:id="1964967232">
              <w:marLeft w:val="0"/>
              <w:marRight w:val="0"/>
              <w:marTop w:val="0"/>
              <w:marBottom w:val="0"/>
              <w:divBdr>
                <w:top w:val="none" w:sz="0" w:space="0" w:color="auto"/>
                <w:left w:val="none" w:sz="0" w:space="0" w:color="auto"/>
                <w:bottom w:val="none" w:sz="0" w:space="0" w:color="auto"/>
                <w:right w:val="none" w:sz="0" w:space="0" w:color="auto"/>
              </w:divBdr>
            </w:div>
          </w:divsChild>
        </w:div>
        <w:div w:id="782501403">
          <w:marLeft w:val="0"/>
          <w:marRight w:val="0"/>
          <w:marTop w:val="0"/>
          <w:marBottom w:val="0"/>
          <w:divBdr>
            <w:top w:val="none" w:sz="0" w:space="0" w:color="auto"/>
            <w:left w:val="none" w:sz="0" w:space="0" w:color="auto"/>
            <w:bottom w:val="none" w:sz="0" w:space="0" w:color="auto"/>
            <w:right w:val="none" w:sz="0" w:space="0" w:color="auto"/>
          </w:divBdr>
          <w:divsChild>
            <w:div w:id="396439733">
              <w:marLeft w:val="0"/>
              <w:marRight w:val="0"/>
              <w:marTop w:val="0"/>
              <w:marBottom w:val="0"/>
              <w:divBdr>
                <w:top w:val="none" w:sz="0" w:space="0" w:color="auto"/>
                <w:left w:val="none" w:sz="0" w:space="0" w:color="auto"/>
                <w:bottom w:val="none" w:sz="0" w:space="0" w:color="auto"/>
                <w:right w:val="none" w:sz="0" w:space="0" w:color="auto"/>
              </w:divBdr>
            </w:div>
          </w:divsChild>
        </w:div>
        <w:div w:id="803087732">
          <w:marLeft w:val="0"/>
          <w:marRight w:val="0"/>
          <w:marTop w:val="0"/>
          <w:marBottom w:val="0"/>
          <w:divBdr>
            <w:top w:val="none" w:sz="0" w:space="0" w:color="auto"/>
            <w:left w:val="none" w:sz="0" w:space="0" w:color="auto"/>
            <w:bottom w:val="none" w:sz="0" w:space="0" w:color="auto"/>
            <w:right w:val="none" w:sz="0" w:space="0" w:color="auto"/>
          </w:divBdr>
          <w:divsChild>
            <w:div w:id="2087220503">
              <w:marLeft w:val="0"/>
              <w:marRight w:val="0"/>
              <w:marTop w:val="0"/>
              <w:marBottom w:val="0"/>
              <w:divBdr>
                <w:top w:val="none" w:sz="0" w:space="0" w:color="auto"/>
                <w:left w:val="none" w:sz="0" w:space="0" w:color="auto"/>
                <w:bottom w:val="none" w:sz="0" w:space="0" w:color="auto"/>
                <w:right w:val="none" w:sz="0" w:space="0" w:color="auto"/>
              </w:divBdr>
            </w:div>
          </w:divsChild>
        </w:div>
        <w:div w:id="814029548">
          <w:marLeft w:val="0"/>
          <w:marRight w:val="0"/>
          <w:marTop w:val="0"/>
          <w:marBottom w:val="0"/>
          <w:divBdr>
            <w:top w:val="none" w:sz="0" w:space="0" w:color="auto"/>
            <w:left w:val="none" w:sz="0" w:space="0" w:color="auto"/>
            <w:bottom w:val="none" w:sz="0" w:space="0" w:color="auto"/>
            <w:right w:val="none" w:sz="0" w:space="0" w:color="auto"/>
          </w:divBdr>
          <w:divsChild>
            <w:div w:id="46804646">
              <w:marLeft w:val="0"/>
              <w:marRight w:val="0"/>
              <w:marTop w:val="0"/>
              <w:marBottom w:val="0"/>
              <w:divBdr>
                <w:top w:val="none" w:sz="0" w:space="0" w:color="auto"/>
                <w:left w:val="none" w:sz="0" w:space="0" w:color="auto"/>
                <w:bottom w:val="none" w:sz="0" w:space="0" w:color="auto"/>
                <w:right w:val="none" w:sz="0" w:space="0" w:color="auto"/>
              </w:divBdr>
            </w:div>
          </w:divsChild>
        </w:div>
        <w:div w:id="984965352">
          <w:marLeft w:val="0"/>
          <w:marRight w:val="0"/>
          <w:marTop w:val="0"/>
          <w:marBottom w:val="0"/>
          <w:divBdr>
            <w:top w:val="none" w:sz="0" w:space="0" w:color="auto"/>
            <w:left w:val="none" w:sz="0" w:space="0" w:color="auto"/>
            <w:bottom w:val="none" w:sz="0" w:space="0" w:color="auto"/>
            <w:right w:val="none" w:sz="0" w:space="0" w:color="auto"/>
          </w:divBdr>
          <w:divsChild>
            <w:div w:id="1341663273">
              <w:marLeft w:val="0"/>
              <w:marRight w:val="0"/>
              <w:marTop w:val="0"/>
              <w:marBottom w:val="0"/>
              <w:divBdr>
                <w:top w:val="none" w:sz="0" w:space="0" w:color="auto"/>
                <w:left w:val="none" w:sz="0" w:space="0" w:color="auto"/>
                <w:bottom w:val="none" w:sz="0" w:space="0" w:color="auto"/>
                <w:right w:val="none" w:sz="0" w:space="0" w:color="auto"/>
              </w:divBdr>
              <w:divsChild>
                <w:div w:id="800541880">
                  <w:marLeft w:val="0"/>
                  <w:marRight w:val="0"/>
                  <w:marTop w:val="0"/>
                  <w:marBottom w:val="0"/>
                  <w:divBdr>
                    <w:top w:val="none" w:sz="0" w:space="0" w:color="auto"/>
                    <w:left w:val="none" w:sz="0" w:space="0" w:color="auto"/>
                    <w:bottom w:val="none" w:sz="0" w:space="0" w:color="auto"/>
                    <w:right w:val="none" w:sz="0" w:space="0" w:color="auto"/>
                  </w:divBdr>
                </w:div>
              </w:divsChild>
            </w:div>
            <w:div w:id="1423069858">
              <w:marLeft w:val="0"/>
              <w:marRight w:val="0"/>
              <w:marTop w:val="0"/>
              <w:marBottom w:val="0"/>
              <w:divBdr>
                <w:top w:val="none" w:sz="0" w:space="0" w:color="auto"/>
                <w:left w:val="none" w:sz="0" w:space="0" w:color="auto"/>
                <w:bottom w:val="none" w:sz="0" w:space="0" w:color="auto"/>
                <w:right w:val="none" w:sz="0" w:space="0" w:color="auto"/>
              </w:divBdr>
            </w:div>
          </w:divsChild>
        </w:div>
        <w:div w:id="1006326490">
          <w:marLeft w:val="0"/>
          <w:marRight w:val="0"/>
          <w:marTop w:val="0"/>
          <w:marBottom w:val="0"/>
          <w:divBdr>
            <w:top w:val="none" w:sz="0" w:space="0" w:color="auto"/>
            <w:left w:val="none" w:sz="0" w:space="0" w:color="auto"/>
            <w:bottom w:val="none" w:sz="0" w:space="0" w:color="auto"/>
            <w:right w:val="none" w:sz="0" w:space="0" w:color="auto"/>
          </w:divBdr>
          <w:divsChild>
            <w:div w:id="169832217">
              <w:marLeft w:val="0"/>
              <w:marRight w:val="0"/>
              <w:marTop w:val="0"/>
              <w:marBottom w:val="0"/>
              <w:divBdr>
                <w:top w:val="none" w:sz="0" w:space="0" w:color="auto"/>
                <w:left w:val="none" w:sz="0" w:space="0" w:color="auto"/>
                <w:bottom w:val="none" w:sz="0" w:space="0" w:color="auto"/>
                <w:right w:val="none" w:sz="0" w:space="0" w:color="auto"/>
              </w:divBdr>
            </w:div>
          </w:divsChild>
        </w:div>
        <w:div w:id="1012489328">
          <w:marLeft w:val="0"/>
          <w:marRight w:val="0"/>
          <w:marTop w:val="0"/>
          <w:marBottom w:val="0"/>
          <w:divBdr>
            <w:top w:val="none" w:sz="0" w:space="0" w:color="auto"/>
            <w:left w:val="none" w:sz="0" w:space="0" w:color="auto"/>
            <w:bottom w:val="none" w:sz="0" w:space="0" w:color="auto"/>
            <w:right w:val="none" w:sz="0" w:space="0" w:color="auto"/>
          </w:divBdr>
          <w:divsChild>
            <w:div w:id="1245335729">
              <w:marLeft w:val="0"/>
              <w:marRight w:val="0"/>
              <w:marTop w:val="0"/>
              <w:marBottom w:val="0"/>
              <w:divBdr>
                <w:top w:val="none" w:sz="0" w:space="0" w:color="auto"/>
                <w:left w:val="none" w:sz="0" w:space="0" w:color="auto"/>
                <w:bottom w:val="none" w:sz="0" w:space="0" w:color="auto"/>
                <w:right w:val="none" w:sz="0" w:space="0" w:color="auto"/>
              </w:divBdr>
            </w:div>
          </w:divsChild>
        </w:div>
        <w:div w:id="1079793795">
          <w:marLeft w:val="0"/>
          <w:marRight w:val="0"/>
          <w:marTop w:val="0"/>
          <w:marBottom w:val="0"/>
          <w:divBdr>
            <w:top w:val="none" w:sz="0" w:space="0" w:color="auto"/>
            <w:left w:val="none" w:sz="0" w:space="0" w:color="auto"/>
            <w:bottom w:val="none" w:sz="0" w:space="0" w:color="auto"/>
            <w:right w:val="none" w:sz="0" w:space="0" w:color="auto"/>
          </w:divBdr>
          <w:divsChild>
            <w:div w:id="686061001">
              <w:marLeft w:val="0"/>
              <w:marRight w:val="0"/>
              <w:marTop w:val="0"/>
              <w:marBottom w:val="0"/>
              <w:divBdr>
                <w:top w:val="none" w:sz="0" w:space="0" w:color="auto"/>
                <w:left w:val="none" w:sz="0" w:space="0" w:color="auto"/>
                <w:bottom w:val="none" w:sz="0" w:space="0" w:color="auto"/>
                <w:right w:val="none" w:sz="0" w:space="0" w:color="auto"/>
              </w:divBdr>
            </w:div>
          </w:divsChild>
        </w:div>
        <w:div w:id="1129588781">
          <w:marLeft w:val="0"/>
          <w:marRight w:val="0"/>
          <w:marTop w:val="0"/>
          <w:marBottom w:val="0"/>
          <w:divBdr>
            <w:top w:val="none" w:sz="0" w:space="0" w:color="auto"/>
            <w:left w:val="none" w:sz="0" w:space="0" w:color="auto"/>
            <w:bottom w:val="none" w:sz="0" w:space="0" w:color="auto"/>
            <w:right w:val="none" w:sz="0" w:space="0" w:color="auto"/>
          </w:divBdr>
          <w:divsChild>
            <w:div w:id="1050686716">
              <w:marLeft w:val="0"/>
              <w:marRight w:val="0"/>
              <w:marTop w:val="0"/>
              <w:marBottom w:val="0"/>
              <w:divBdr>
                <w:top w:val="none" w:sz="0" w:space="0" w:color="auto"/>
                <w:left w:val="none" w:sz="0" w:space="0" w:color="auto"/>
                <w:bottom w:val="none" w:sz="0" w:space="0" w:color="auto"/>
                <w:right w:val="none" w:sz="0" w:space="0" w:color="auto"/>
              </w:divBdr>
            </w:div>
            <w:div w:id="1702509727">
              <w:marLeft w:val="0"/>
              <w:marRight w:val="0"/>
              <w:marTop w:val="0"/>
              <w:marBottom w:val="0"/>
              <w:divBdr>
                <w:top w:val="none" w:sz="0" w:space="0" w:color="auto"/>
                <w:left w:val="none" w:sz="0" w:space="0" w:color="auto"/>
                <w:bottom w:val="none" w:sz="0" w:space="0" w:color="auto"/>
                <w:right w:val="none" w:sz="0" w:space="0" w:color="auto"/>
              </w:divBdr>
              <w:divsChild>
                <w:div w:id="7838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4511">
          <w:marLeft w:val="0"/>
          <w:marRight w:val="0"/>
          <w:marTop w:val="0"/>
          <w:marBottom w:val="0"/>
          <w:divBdr>
            <w:top w:val="none" w:sz="0" w:space="0" w:color="auto"/>
            <w:left w:val="none" w:sz="0" w:space="0" w:color="auto"/>
            <w:bottom w:val="none" w:sz="0" w:space="0" w:color="auto"/>
            <w:right w:val="none" w:sz="0" w:space="0" w:color="auto"/>
          </w:divBdr>
          <w:divsChild>
            <w:div w:id="1290280590">
              <w:marLeft w:val="0"/>
              <w:marRight w:val="0"/>
              <w:marTop w:val="0"/>
              <w:marBottom w:val="0"/>
              <w:divBdr>
                <w:top w:val="none" w:sz="0" w:space="0" w:color="auto"/>
                <w:left w:val="none" w:sz="0" w:space="0" w:color="auto"/>
                <w:bottom w:val="none" w:sz="0" w:space="0" w:color="auto"/>
                <w:right w:val="none" w:sz="0" w:space="0" w:color="auto"/>
              </w:divBdr>
              <w:divsChild>
                <w:div w:id="3216371">
                  <w:marLeft w:val="0"/>
                  <w:marRight w:val="0"/>
                  <w:marTop w:val="0"/>
                  <w:marBottom w:val="0"/>
                  <w:divBdr>
                    <w:top w:val="none" w:sz="0" w:space="0" w:color="auto"/>
                    <w:left w:val="none" w:sz="0" w:space="0" w:color="auto"/>
                    <w:bottom w:val="none" w:sz="0" w:space="0" w:color="auto"/>
                    <w:right w:val="none" w:sz="0" w:space="0" w:color="auto"/>
                  </w:divBdr>
                </w:div>
              </w:divsChild>
            </w:div>
            <w:div w:id="1661039754">
              <w:marLeft w:val="0"/>
              <w:marRight w:val="0"/>
              <w:marTop w:val="0"/>
              <w:marBottom w:val="0"/>
              <w:divBdr>
                <w:top w:val="none" w:sz="0" w:space="0" w:color="auto"/>
                <w:left w:val="none" w:sz="0" w:space="0" w:color="auto"/>
                <w:bottom w:val="none" w:sz="0" w:space="0" w:color="auto"/>
                <w:right w:val="none" w:sz="0" w:space="0" w:color="auto"/>
              </w:divBdr>
            </w:div>
          </w:divsChild>
        </w:div>
        <w:div w:id="1275752847">
          <w:marLeft w:val="0"/>
          <w:marRight w:val="0"/>
          <w:marTop w:val="0"/>
          <w:marBottom w:val="0"/>
          <w:divBdr>
            <w:top w:val="none" w:sz="0" w:space="0" w:color="auto"/>
            <w:left w:val="none" w:sz="0" w:space="0" w:color="auto"/>
            <w:bottom w:val="none" w:sz="0" w:space="0" w:color="auto"/>
            <w:right w:val="none" w:sz="0" w:space="0" w:color="auto"/>
          </w:divBdr>
          <w:divsChild>
            <w:div w:id="1064643322">
              <w:marLeft w:val="0"/>
              <w:marRight w:val="0"/>
              <w:marTop w:val="0"/>
              <w:marBottom w:val="0"/>
              <w:divBdr>
                <w:top w:val="none" w:sz="0" w:space="0" w:color="auto"/>
                <w:left w:val="none" w:sz="0" w:space="0" w:color="auto"/>
                <w:bottom w:val="none" w:sz="0" w:space="0" w:color="auto"/>
                <w:right w:val="none" w:sz="0" w:space="0" w:color="auto"/>
              </w:divBdr>
            </w:div>
          </w:divsChild>
        </w:div>
        <w:div w:id="1336109838">
          <w:marLeft w:val="0"/>
          <w:marRight w:val="0"/>
          <w:marTop w:val="0"/>
          <w:marBottom w:val="0"/>
          <w:divBdr>
            <w:top w:val="none" w:sz="0" w:space="0" w:color="auto"/>
            <w:left w:val="none" w:sz="0" w:space="0" w:color="auto"/>
            <w:bottom w:val="none" w:sz="0" w:space="0" w:color="auto"/>
            <w:right w:val="none" w:sz="0" w:space="0" w:color="auto"/>
          </w:divBdr>
          <w:divsChild>
            <w:div w:id="1147674498">
              <w:marLeft w:val="0"/>
              <w:marRight w:val="0"/>
              <w:marTop w:val="0"/>
              <w:marBottom w:val="0"/>
              <w:divBdr>
                <w:top w:val="none" w:sz="0" w:space="0" w:color="auto"/>
                <w:left w:val="none" w:sz="0" w:space="0" w:color="auto"/>
                <w:bottom w:val="none" w:sz="0" w:space="0" w:color="auto"/>
                <w:right w:val="none" w:sz="0" w:space="0" w:color="auto"/>
              </w:divBdr>
              <w:divsChild>
                <w:div w:id="1530021027">
                  <w:marLeft w:val="0"/>
                  <w:marRight w:val="0"/>
                  <w:marTop w:val="0"/>
                  <w:marBottom w:val="0"/>
                  <w:divBdr>
                    <w:top w:val="none" w:sz="0" w:space="0" w:color="auto"/>
                    <w:left w:val="none" w:sz="0" w:space="0" w:color="auto"/>
                    <w:bottom w:val="none" w:sz="0" w:space="0" w:color="auto"/>
                    <w:right w:val="none" w:sz="0" w:space="0" w:color="auto"/>
                  </w:divBdr>
                </w:div>
              </w:divsChild>
            </w:div>
            <w:div w:id="1844584336">
              <w:marLeft w:val="0"/>
              <w:marRight w:val="0"/>
              <w:marTop w:val="0"/>
              <w:marBottom w:val="0"/>
              <w:divBdr>
                <w:top w:val="none" w:sz="0" w:space="0" w:color="auto"/>
                <w:left w:val="none" w:sz="0" w:space="0" w:color="auto"/>
                <w:bottom w:val="none" w:sz="0" w:space="0" w:color="auto"/>
                <w:right w:val="none" w:sz="0" w:space="0" w:color="auto"/>
              </w:divBdr>
            </w:div>
          </w:divsChild>
        </w:div>
        <w:div w:id="1341470594">
          <w:marLeft w:val="0"/>
          <w:marRight w:val="0"/>
          <w:marTop w:val="0"/>
          <w:marBottom w:val="0"/>
          <w:divBdr>
            <w:top w:val="none" w:sz="0" w:space="0" w:color="auto"/>
            <w:left w:val="none" w:sz="0" w:space="0" w:color="auto"/>
            <w:bottom w:val="none" w:sz="0" w:space="0" w:color="auto"/>
            <w:right w:val="none" w:sz="0" w:space="0" w:color="auto"/>
          </w:divBdr>
          <w:divsChild>
            <w:div w:id="1526597153">
              <w:marLeft w:val="0"/>
              <w:marRight w:val="0"/>
              <w:marTop w:val="0"/>
              <w:marBottom w:val="0"/>
              <w:divBdr>
                <w:top w:val="none" w:sz="0" w:space="0" w:color="auto"/>
                <w:left w:val="none" w:sz="0" w:space="0" w:color="auto"/>
                <w:bottom w:val="none" w:sz="0" w:space="0" w:color="auto"/>
                <w:right w:val="none" w:sz="0" w:space="0" w:color="auto"/>
              </w:divBdr>
            </w:div>
            <w:div w:id="1583560400">
              <w:marLeft w:val="0"/>
              <w:marRight w:val="0"/>
              <w:marTop w:val="0"/>
              <w:marBottom w:val="0"/>
              <w:divBdr>
                <w:top w:val="none" w:sz="0" w:space="0" w:color="auto"/>
                <w:left w:val="none" w:sz="0" w:space="0" w:color="auto"/>
                <w:bottom w:val="none" w:sz="0" w:space="0" w:color="auto"/>
                <w:right w:val="none" w:sz="0" w:space="0" w:color="auto"/>
              </w:divBdr>
              <w:divsChild>
                <w:div w:id="8285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51495">
          <w:marLeft w:val="0"/>
          <w:marRight w:val="0"/>
          <w:marTop w:val="0"/>
          <w:marBottom w:val="0"/>
          <w:divBdr>
            <w:top w:val="none" w:sz="0" w:space="0" w:color="auto"/>
            <w:left w:val="none" w:sz="0" w:space="0" w:color="auto"/>
            <w:bottom w:val="none" w:sz="0" w:space="0" w:color="auto"/>
            <w:right w:val="none" w:sz="0" w:space="0" w:color="auto"/>
          </w:divBdr>
          <w:divsChild>
            <w:div w:id="315377175">
              <w:marLeft w:val="0"/>
              <w:marRight w:val="0"/>
              <w:marTop w:val="0"/>
              <w:marBottom w:val="0"/>
              <w:divBdr>
                <w:top w:val="none" w:sz="0" w:space="0" w:color="auto"/>
                <w:left w:val="none" w:sz="0" w:space="0" w:color="auto"/>
                <w:bottom w:val="none" w:sz="0" w:space="0" w:color="auto"/>
                <w:right w:val="none" w:sz="0" w:space="0" w:color="auto"/>
              </w:divBdr>
            </w:div>
            <w:div w:id="1001472373">
              <w:marLeft w:val="0"/>
              <w:marRight w:val="0"/>
              <w:marTop w:val="0"/>
              <w:marBottom w:val="0"/>
              <w:divBdr>
                <w:top w:val="none" w:sz="0" w:space="0" w:color="auto"/>
                <w:left w:val="none" w:sz="0" w:space="0" w:color="auto"/>
                <w:bottom w:val="none" w:sz="0" w:space="0" w:color="auto"/>
                <w:right w:val="none" w:sz="0" w:space="0" w:color="auto"/>
              </w:divBdr>
              <w:divsChild>
                <w:div w:id="19641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3956">
          <w:marLeft w:val="0"/>
          <w:marRight w:val="0"/>
          <w:marTop w:val="0"/>
          <w:marBottom w:val="0"/>
          <w:divBdr>
            <w:top w:val="none" w:sz="0" w:space="0" w:color="auto"/>
            <w:left w:val="none" w:sz="0" w:space="0" w:color="auto"/>
            <w:bottom w:val="none" w:sz="0" w:space="0" w:color="auto"/>
            <w:right w:val="none" w:sz="0" w:space="0" w:color="auto"/>
          </w:divBdr>
          <w:divsChild>
            <w:div w:id="119156718">
              <w:marLeft w:val="0"/>
              <w:marRight w:val="0"/>
              <w:marTop w:val="0"/>
              <w:marBottom w:val="0"/>
              <w:divBdr>
                <w:top w:val="none" w:sz="0" w:space="0" w:color="auto"/>
                <w:left w:val="none" w:sz="0" w:space="0" w:color="auto"/>
                <w:bottom w:val="none" w:sz="0" w:space="0" w:color="auto"/>
                <w:right w:val="none" w:sz="0" w:space="0" w:color="auto"/>
              </w:divBdr>
            </w:div>
            <w:div w:id="209652178">
              <w:marLeft w:val="0"/>
              <w:marRight w:val="0"/>
              <w:marTop w:val="0"/>
              <w:marBottom w:val="0"/>
              <w:divBdr>
                <w:top w:val="none" w:sz="0" w:space="0" w:color="auto"/>
                <w:left w:val="none" w:sz="0" w:space="0" w:color="auto"/>
                <w:bottom w:val="none" w:sz="0" w:space="0" w:color="auto"/>
                <w:right w:val="none" w:sz="0" w:space="0" w:color="auto"/>
              </w:divBdr>
              <w:divsChild>
                <w:div w:id="10837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74260">
          <w:marLeft w:val="0"/>
          <w:marRight w:val="0"/>
          <w:marTop w:val="0"/>
          <w:marBottom w:val="0"/>
          <w:divBdr>
            <w:top w:val="none" w:sz="0" w:space="0" w:color="auto"/>
            <w:left w:val="none" w:sz="0" w:space="0" w:color="auto"/>
            <w:bottom w:val="none" w:sz="0" w:space="0" w:color="auto"/>
            <w:right w:val="none" w:sz="0" w:space="0" w:color="auto"/>
          </w:divBdr>
          <w:divsChild>
            <w:div w:id="95255403">
              <w:marLeft w:val="0"/>
              <w:marRight w:val="0"/>
              <w:marTop w:val="0"/>
              <w:marBottom w:val="0"/>
              <w:divBdr>
                <w:top w:val="none" w:sz="0" w:space="0" w:color="auto"/>
                <w:left w:val="none" w:sz="0" w:space="0" w:color="auto"/>
                <w:bottom w:val="none" w:sz="0" w:space="0" w:color="auto"/>
                <w:right w:val="none" w:sz="0" w:space="0" w:color="auto"/>
              </w:divBdr>
              <w:divsChild>
                <w:div w:id="108858939">
                  <w:marLeft w:val="0"/>
                  <w:marRight w:val="0"/>
                  <w:marTop w:val="0"/>
                  <w:marBottom w:val="0"/>
                  <w:divBdr>
                    <w:top w:val="none" w:sz="0" w:space="0" w:color="auto"/>
                    <w:left w:val="none" w:sz="0" w:space="0" w:color="auto"/>
                    <w:bottom w:val="none" w:sz="0" w:space="0" w:color="auto"/>
                    <w:right w:val="none" w:sz="0" w:space="0" w:color="auto"/>
                  </w:divBdr>
                </w:div>
              </w:divsChild>
            </w:div>
            <w:div w:id="142935748">
              <w:marLeft w:val="0"/>
              <w:marRight w:val="0"/>
              <w:marTop w:val="0"/>
              <w:marBottom w:val="0"/>
              <w:divBdr>
                <w:top w:val="none" w:sz="0" w:space="0" w:color="auto"/>
                <w:left w:val="none" w:sz="0" w:space="0" w:color="auto"/>
                <w:bottom w:val="none" w:sz="0" w:space="0" w:color="auto"/>
                <w:right w:val="none" w:sz="0" w:space="0" w:color="auto"/>
              </w:divBdr>
            </w:div>
          </w:divsChild>
        </w:div>
        <w:div w:id="1457748317">
          <w:marLeft w:val="0"/>
          <w:marRight w:val="0"/>
          <w:marTop w:val="0"/>
          <w:marBottom w:val="0"/>
          <w:divBdr>
            <w:top w:val="none" w:sz="0" w:space="0" w:color="auto"/>
            <w:left w:val="none" w:sz="0" w:space="0" w:color="auto"/>
            <w:bottom w:val="none" w:sz="0" w:space="0" w:color="auto"/>
            <w:right w:val="none" w:sz="0" w:space="0" w:color="auto"/>
          </w:divBdr>
          <w:divsChild>
            <w:div w:id="76023921">
              <w:marLeft w:val="0"/>
              <w:marRight w:val="0"/>
              <w:marTop w:val="0"/>
              <w:marBottom w:val="0"/>
              <w:divBdr>
                <w:top w:val="none" w:sz="0" w:space="0" w:color="auto"/>
                <w:left w:val="none" w:sz="0" w:space="0" w:color="auto"/>
                <w:bottom w:val="none" w:sz="0" w:space="0" w:color="auto"/>
                <w:right w:val="none" w:sz="0" w:space="0" w:color="auto"/>
              </w:divBdr>
            </w:div>
          </w:divsChild>
        </w:div>
        <w:div w:id="1520969436">
          <w:marLeft w:val="0"/>
          <w:marRight w:val="0"/>
          <w:marTop w:val="0"/>
          <w:marBottom w:val="0"/>
          <w:divBdr>
            <w:top w:val="none" w:sz="0" w:space="0" w:color="auto"/>
            <w:left w:val="none" w:sz="0" w:space="0" w:color="auto"/>
            <w:bottom w:val="none" w:sz="0" w:space="0" w:color="auto"/>
            <w:right w:val="none" w:sz="0" w:space="0" w:color="auto"/>
          </w:divBdr>
          <w:divsChild>
            <w:div w:id="359015776">
              <w:marLeft w:val="0"/>
              <w:marRight w:val="0"/>
              <w:marTop w:val="0"/>
              <w:marBottom w:val="0"/>
              <w:divBdr>
                <w:top w:val="none" w:sz="0" w:space="0" w:color="auto"/>
                <w:left w:val="none" w:sz="0" w:space="0" w:color="auto"/>
                <w:bottom w:val="none" w:sz="0" w:space="0" w:color="auto"/>
                <w:right w:val="none" w:sz="0" w:space="0" w:color="auto"/>
              </w:divBdr>
              <w:divsChild>
                <w:div w:id="1214579212">
                  <w:marLeft w:val="0"/>
                  <w:marRight w:val="0"/>
                  <w:marTop w:val="0"/>
                  <w:marBottom w:val="0"/>
                  <w:divBdr>
                    <w:top w:val="none" w:sz="0" w:space="0" w:color="auto"/>
                    <w:left w:val="none" w:sz="0" w:space="0" w:color="auto"/>
                    <w:bottom w:val="none" w:sz="0" w:space="0" w:color="auto"/>
                    <w:right w:val="none" w:sz="0" w:space="0" w:color="auto"/>
                  </w:divBdr>
                </w:div>
              </w:divsChild>
            </w:div>
            <w:div w:id="1292442311">
              <w:marLeft w:val="0"/>
              <w:marRight w:val="0"/>
              <w:marTop w:val="0"/>
              <w:marBottom w:val="0"/>
              <w:divBdr>
                <w:top w:val="none" w:sz="0" w:space="0" w:color="auto"/>
                <w:left w:val="none" w:sz="0" w:space="0" w:color="auto"/>
                <w:bottom w:val="none" w:sz="0" w:space="0" w:color="auto"/>
                <w:right w:val="none" w:sz="0" w:space="0" w:color="auto"/>
              </w:divBdr>
            </w:div>
          </w:divsChild>
        </w:div>
        <w:div w:id="1561938380">
          <w:marLeft w:val="0"/>
          <w:marRight w:val="0"/>
          <w:marTop w:val="0"/>
          <w:marBottom w:val="0"/>
          <w:divBdr>
            <w:top w:val="none" w:sz="0" w:space="0" w:color="auto"/>
            <w:left w:val="none" w:sz="0" w:space="0" w:color="auto"/>
            <w:bottom w:val="none" w:sz="0" w:space="0" w:color="auto"/>
            <w:right w:val="none" w:sz="0" w:space="0" w:color="auto"/>
          </w:divBdr>
          <w:divsChild>
            <w:div w:id="1157842528">
              <w:marLeft w:val="0"/>
              <w:marRight w:val="0"/>
              <w:marTop w:val="0"/>
              <w:marBottom w:val="0"/>
              <w:divBdr>
                <w:top w:val="none" w:sz="0" w:space="0" w:color="auto"/>
                <w:left w:val="none" w:sz="0" w:space="0" w:color="auto"/>
                <w:bottom w:val="none" w:sz="0" w:space="0" w:color="auto"/>
                <w:right w:val="none" w:sz="0" w:space="0" w:color="auto"/>
              </w:divBdr>
            </w:div>
          </w:divsChild>
        </w:div>
        <w:div w:id="1572957790">
          <w:marLeft w:val="0"/>
          <w:marRight w:val="0"/>
          <w:marTop w:val="0"/>
          <w:marBottom w:val="0"/>
          <w:divBdr>
            <w:top w:val="none" w:sz="0" w:space="0" w:color="auto"/>
            <w:left w:val="none" w:sz="0" w:space="0" w:color="auto"/>
            <w:bottom w:val="none" w:sz="0" w:space="0" w:color="auto"/>
            <w:right w:val="none" w:sz="0" w:space="0" w:color="auto"/>
          </w:divBdr>
          <w:divsChild>
            <w:div w:id="1247302864">
              <w:marLeft w:val="0"/>
              <w:marRight w:val="0"/>
              <w:marTop w:val="0"/>
              <w:marBottom w:val="0"/>
              <w:divBdr>
                <w:top w:val="none" w:sz="0" w:space="0" w:color="auto"/>
                <w:left w:val="none" w:sz="0" w:space="0" w:color="auto"/>
                <w:bottom w:val="none" w:sz="0" w:space="0" w:color="auto"/>
                <w:right w:val="none" w:sz="0" w:space="0" w:color="auto"/>
              </w:divBdr>
              <w:divsChild>
                <w:div w:id="964506669">
                  <w:marLeft w:val="0"/>
                  <w:marRight w:val="0"/>
                  <w:marTop w:val="0"/>
                  <w:marBottom w:val="0"/>
                  <w:divBdr>
                    <w:top w:val="none" w:sz="0" w:space="0" w:color="auto"/>
                    <w:left w:val="none" w:sz="0" w:space="0" w:color="auto"/>
                    <w:bottom w:val="none" w:sz="0" w:space="0" w:color="auto"/>
                    <w:right w:val="none" w:sz="0" w:space="0" w:color="auto"/>
                  </w:divBdr>
                </w:div>
              </w:divsChild>
            </w:div>
            <w:div w:id="1300693077">
              <w:marLeft w:val="0"/>
              <w:marRight w:val="0"/>
              <w:marTop w:val="0"/>
              <w:marBottom w:val="0"/>
              <w:divBdr>
                <w:top w:val="none" w:sz="0" w:space="0" w:color="auto"/>
                <w:left w:val="none" w:sz="0" w:space="0" w:color="auto"/>
                <w:bottom w:val="none" w:sz="0" w:space="0" w:color="auto"/>
                <w:right w:val="none" w:sz="0" w:space="0" w:color="auto"/>
              </w:divBdr>
            </w:div>
          </w:divsChild>
        </w:div>
        <w:div w:id="1678995446">
          <w:marLeft w:val="0"/>
          <w:marRight w:val="0"/>
          <w:marTop w:val="0"/>
          <w:marBottom w:val="0"/>
          <w:divBdr>
            <w:top w:val="none" w:sz="0" w:space="0" w:color="auto"/>
            <w:left w:val="none" w:sz="0" w:space="0" w:color="auto"/>
            <w:bottom w:val="none" w:sz="0" w:space="0" w:color="auto"/>
            <w:right w:val="none" w:sz="0" w:space="0" w:color="auto"/>
          </w:divBdr>
          <w:divsChild>
            <w:div w:id="783885302">
              <w:marLeft w:val="0"/>
              <w:marRight w:val="0"/>
              <w:marTop w:val="0"/>
              <w:marBottom w:val="0"/>
              <w:divBdr>
                <w:top w:val="none" w:sz="0" w:space="0" w:color="auto"/>
                <w:left w:val="none" w:sz="0" w:space="0" w:color="auto"/>
                <w:bottom w:val="none" w:sz="0" w:space="0" w:color="auto"/>
                <w:right w:val="none" w:sz="0" w:space="0" w:color="auto"/>
              </w:divBdr>
            </w:div>
            <w:div w:id="1480927584">
              <w:marLeft w:val="0"/>
              <w:marRight w:val="0"/>
              <w:marTop w:val="0"/>
              <w:marBottom w:val="0"/>
              <w:divBdr>
                <w:top w:val="none" w:sz="0" w:space="0" w:color="auto"/>
                <w:left w:val="none" w:sz="0" w:space="0" w:color="auto"/>
                <w:bottom w:val="none" w:sz="0" w:space="0" w:color="auto"/>
                <w:right w:val="none" w:sz="0" w:space="0" w:color="auto"/>
              </w:divBdr>
              <w:divsChild>
                <w:div w:id="62038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7921">
          <w:marLeft w:val="0"/>
          <w:marRight w:val="0"/>
          <w:marTop w:val="0"/>
          <w:marBottom w:val="0"/>
          <w:divBdr>
            <w:top w:val="none" w:sz="0" w:space="0" w:color="auto"/>
            <w:left w:val="none" w:sz="0" w:space="0" w:color="auto"/>
            <w:bottom w:val="none" w:sz="0" w:space="0" w:color="auto"/>
            <w:right w:val="none" w:sz="0" w:space="0" w:color="auto"/>
          </w:divBdr>
          <w:divsChild>
            <w:div w:id="167407143">
              <w:marLeft w:val="0"/>
              <w:marRight w:val="0"/>
              <w:marTop w:val="0"/>
              <w:marBottom w:val="0"/>
              <w:divBdr>
                <w:top w:val="none" w:sz="0" w:space="0" w:color="auto"/>
                <w:left w:val="none" w:sz="0" w:space="0" w:color="auto"/>
                <w:bottom w:val="none" w:sz="0" w:space="0" w:color="auto"/>
                <w:right w:val="none" w:sz="0" w:space="0" w:color="auto"/>
              </w:divBdr>
              <w:divsChild>
                <w:div w:id="1137800240">
                  <w:marLeft w:val="0"/>
                  <w:marRight w:val="0"/>
                  <w:marTop w:val="0"/>
                  <w:marBottom w:val="0"/>
                  <w:divBdr>
                    <w:top w:val="none" w:sz="0" w:space="0" w:color="auto"/>
                    <w:left w:val="none" w:sz="0" w:space="0" w:color="auto"/>
                    <w:bottom w:val="none" w:sz="0" w:space="0" w:color="auto"/>
                    <w:right w:val="none" w:sz="0" w:space="0" w:color="auto"/>
                  </w:divBdr>
                </w:div>
              </w:divsChild>
            </w:div>
            <w:div w:id="1651326458">
              <w:marLeft w:val="0"/>
              <w:marRight w:val="0"/>
              <w:marTop w:val="0"/>
              <w:marBottom w:val="0"/>
              <w:divBdr>
                <w:top w:val="none" w:sz="0" w:space="0" w:color="auto"/>
                <w:left w:val="none" w:sz="0" w:space="0" w:color="auto"/>
                <w:bottom w:val="none" w:sz="0" w:space="0" w:color="auto"/>
                <w:right w:val="none" w:sz="0" w:space="0" w:color="auto"/>
              </w:divBdr>
            </w:div>
          </w:divsChild>
        </w:div>
        <w:div w:id="1827935204">
          <w:marLeft w:val="0"/>
          <w:marRight w:val="0"/>
          <w:marTop w:val="0"/>
          <w:marBottom w:val="0"/>
          <w:divBdr>
            <w:top w:val="none" w:sz="0" w:space="0" w:color="auto"/>
            <w:left w:val="none" w:sz="0" w:space="0" w:color="auto"/>
            <w:bottom w:val="none" w:sz="0" w:space="0" w:color="auto"/>
            <w:right w:val="none" w:sz="0" w:space="0" w:color="auto"/>
          </w:divBdr>
          <w:divsChild>
            <w:div w:id="1164279186">
              <w:marLeft w:val="0"/>
              <w:marRight w:val="0"/>
              <w:marTop w:val="0"/>
              <w:marBottom w:val="0"/>
              <w:divBdr>
                <w:top w:val="none" w:sz="0" w:space="0" w:color="auto"/>
                <w:left w:val="none" w:sz="0" w:space="0" w:color="auto"/>
                <w:bottom w:val="none" w:sz="0" w:space="0" w:color="auto"/>
                <w:right w:val="none" w:sz="0" w:space="0" w:color="auto"/>
              </w:divBdr>
            </w:div>
          </w:divsChild>
        </w:div>
        <w:div w:id="1997295622">
          <w:marLeft w:val="0"/>
          <w:marRight w:val="0"/>
          <w:marTop w:val="0"/>
          <w:marBottom w:val="0"/>
          <w:divBdr>
            <w:top w:val="none" w:sz="0" w:space="0" w:color="auto"/>
            <w:left w:val="none" w:sz="0" w:space="0" w:color="auto"/>
            <w:bottom w:val="none" w:sz="0" w:space="0" w:color="auto"/>
            <w:right w:val="none" w:sz="0" w:space="0" w:color="auto"/>
          </w:divBdr>
          <w:divsChild>
            <w:div w:id="1282371672">
              <w:marLeft w:val="0"/>
              <w:marRight w:val="0"/>
              <w:marTop w:val="0"/>
              <w:marBottom w:val="0"/>
              <w:divBdr>
                <w:top w:val="none" w:sz="0" w:space="0" w:color="auto"/>
                <w:left w:val="none" w:sz="0" w:space="0" w:color="auto"/>
                <w:bottom w:val="none" w:sz="0" w:space="0" w:color="auto"/>
                <w:right w:val="none" w:sz="0" w:space="0" w:color="auto"/>
              </w:divBdr>
            </w:div>
          </w:divsChild>
        </w:div>
        <w:div w:id="2003239749">
          <w:marLeft w:val="0"/>
          <w:marRight w:val="0"/>
          <w:marTop w:val="0"/>
          <w:marBottom w:val="0"/>
          <w:divBdr>
            <w:top w:val="none" w:sz="0" w:space="0" w:color="auto"/>
            <w:left w:val="none" w:sz="0" w:space="0" w:color="auto"/>
            <w:bottom w:val="none" w:sz="0" w:space="0" w:color="auto"/>
            <w:right w:val="none" w:sz="0" w:space="0" w:color="auto"/>
          </w:divBdr>
          <w:divsChild>
            <w:div w:id="1818918904">
              <w:marLeft w:val="0"/>
              <w:marRight w:val="0"/>
              <w:marTop w:val="0"/>
              <w:marBottom w:val="0"/>
              <w:divBdr>
                <w:top w:val="none" w:sz="0" w:space="0" w:color="auto"/>
                <w:left w:val="none" w:sz="0" w:space="0" w:color="auto"/>
                <w:bottom w:val="none" w:sz="0" w:space="0" w:color="auto"/>
                <w:right w:val="none" w:sz="0" w:space="0" w:color="auto"/>
              </w:divBdr>
            </w:div>
          </w:divsChild>
        </w:div>
        <w:div w:id="2053340300">
          <w:marLeft w:val="0"/>
          <w:marRight w:val="0"/>
          <w:marTop w:val="0"/>
          <w:marBottom w:val="0"/>
          <w:divBdr>
            <w:top w:val="none" w:sz="0" w:space="0" w:color="auto"/>
            <w:left w:val="none" w:sz="0" w:space="0" w:color="auto"/>
            <w:bottom w:val="none" w:sz="0" w:space="0" w:color="auto"/>
            <w:right w:val="none" w:sz="0" w:space="0" w:color="auto"/>
          </w:divBdr>
          <w:divsChild>
            <w:div w:id="142541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6793416">
      <w:bodyDiv w:val="1"/>
      <w:marLeft w:val="0"/>
      <w:marRight w:val="0"/>
      <w:marTop w:val="0"/>
      <w:marBottom w:val="0"/>
      <w:divBdr>
        <w:top w:val="none" w:sz="0" w:space="0" w:color="auto"/>
        <w:left w:val="none" w:sz="0" w:space="0" w:color="auto"/>
        <w:bottom w:val="none" w:sz="0" w:space="0" w:color="auto"/>
        <w:right w:val="none" w:sz="0" w:space="0" w:color="auto"/>
      </w:divBdr>
      <w:divsChild>
        <w:div w:id="369644633">
          <w:marLeft w:val="1800"/>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172390">
      <w:bodyDiv w:val="1"/>
      <w:marLeft w:val="0"/>
      <w:marRight w:val="0"/>
      <w:marTop w:val="0"/>
      <w:marBottom w:val="0"/>
      <w:divBdr>
        <w:top w:val="none" w:sz="0" w:space="0" w:color="auto"/>
        <w:left w:val="none" w:sz="0" w:space="0" w:color="auto"/>
        <w:bottom w:val="none" w:sz="0" w:space="0" w:color="auto"/>
        <w:right w:val="none" w:sz="0" w:space="0" w:color="auto"/>
      </w:divBdr>
      <w:divsChild>
        <w:div w:id="1693452726">
          <w:marLeft w:val="864"/>
          <w:marRight w:val="0"/>
          <w:marTop w:val="108"/>
          <w:marBottom w:val="0"/>
          <w:divBdr>
            <w:top w:val="none" w:sz="0" w:space="0" w:color="auto"/>
            <w:left w:val="none" w:sz="0" w:space="0" w:color="auto"/>
            <w:bottom w:val="none" w:sz="0" w:space="0" w:color="auto"/>
            <w:right w:val="none" w:sz="0" w:space="0" w:color="auto"/>
          </w:divBdr>
        </w:div>
      </w:divsChild>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655302">
      <w:bodyDiv w:val="1"/>
      <w:marLeft w:val="0"/>
      <w:marRight w:val="0"/>
      <w:marTop w:val="0"/>
      <w:marBottom w:val="0"/>
      <w:divBdr>
        <w:top w:val="none" w:sz="0" w:space="0" w:color="auto"/>
        <w:left w:val="none" w:sz="0" w:space="0" w:color="auto"/>
        <w:bottom w:val="none" w:sz="0" w:space="0" w:color="auto"/>
        <w:right w:val="none" w:sz="0" w:space="0" w:color="auto"/>
      </w:divBdr>
      <w:divsChild>
        <w:div w:id="1663120699">
          <w:marLeft w:val="864"/>
          <w:marRight w:val="0"/>
          <w:marTop w:val="108"/>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4033103">
      <w:bodyDiv w:val="1"/>
      <w:marLeft w:val="0"/>
      <w:marRight w:val="0"/>
      <w:marTop w:val="0"/>
      <w:marBottom w:val="0"/>
      <w:divBdr>
        <w:top w:val="none" w:sz="0" w:space="0" w:color="auto"/>
        <w:left w:val="none" w:sz="0" w:space="0" w:color="auto"/>
        <w:bottom w:val="none" w:sz="0" w:space="0" w:color="auto"/>
        <w:right w:val="none" w:sz="0" w:space="0" w:color="auto"/>
      </w:divBdr>
      <w:divsChild>
        <w:div w:id="865681194">
          <w:marLeft w:val="1800"/>
          <w:marRight w:val="0"/>
          <w:marTop w:val="77"/>
          <w:marBottom w:val="0"/>
          <w:divBdr>
            <w:top w:val="none" w:sz="0" w:space="0" w:color="auto"/>
            <w:left w:val="none" w:sz="0" w:space="0" w:color="auto"/>
            <w:bottom w:val="none" w:sz="0" w:space="0" w:color="auto"/>
            <w:right w:val="none" w:sz="0" w:space="0" w:color="auto"/>
          </w:divBdr>
        </w:div>
        <w:div w:id="936862084">
          <w:marLeft w:val="2520"/>
          <w:marRight w:val="0"/>
          <w:marTop w:val="67"/>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3474597">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29395639">
      <w:bodyDiv w:val="1"/>
      <w:marLeft w:val="0"/>
      <w:marRight w:val="0"/>
      <w:marTop w:val="0"/>
      <w:marBottom w:val="0"/>
      <w:divBdr>
        <w:top w:val="none" w:sz="0" w:space="0" w:color="auto"/>
        <w:left w:val="none" w:sz="0" w:space="0" w:color="auto"/>
        <w:bottom w:val="none" w:sz="0" w:space="0" w:color="auto"/>
        <w:right w:val="none" w:sz="0" w:space="0" w:color="auto"/>
      </w:divBdr>
      <w:divsChild>
        <w:div w:id="694233059">
          <w:marLeft w:val="2520"/>
          <w:marRight w:val="0"/>
          <w:marTop w:val="67"/>
          <w:marBottom w:val="0"/>
          <w:divBdr>
            <w:top w:val="none" w:sz="0" w:space="0" w:color="auto"/>
            <w:left w:val="none" w:sz="0" w:space="0" w:color="auto"/>
            <w:bottom w:val="none" w:sz="0" w:space="0" w:color="auto"/>
            <w:right w:val="none" w:sz="0" w:space="0" w:color="auto"/>
          </w:divBdr>
        </w:div>
      </w:divsChild>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3298452">
      <w:bodyDiv w:val="1"/>
      <w:marLeft w:val="0"/>
      <w:marRight w:val="0"/>
      <w:marTop w:val="0"/>
      <w:marBottom w:val="0"/>
      <w:divBdr>
        <w:top w:val="none" w:sz="0" w:space="0" w:color="auto"/>
        <w:left w:val="none" w:sz="0" w:space="0" w:color="auto"/>
        <w:bottom w:val="none" w:sz="0" w:space="0" w:color="auto"/>
        <w:right w:val="none" w:sz="0" w:space="0" w:color="auto"/>
      </w:divBdr>
      <w:divsChild>
        <w:div w:id="101845668">
          <w:marLeft w:val="864"/>
          <w:marRight w:val="0"/>
          <w:marTop w:val="108"/>
          <w:marBottom w:val="0"/>
          <w:divBdr>
            <w:top w:val="none" w:sz="0" w:space="0" w:color="auto"/>
            <w:left w:val="none" w:sz="0" w:space="0" w:color="auto"/>
            <w:bottom w:val="none" w:sz="0" w:space="0" w:color="auto"/>
            <w:right w:val="none" w:sz="0" w:space="0" w:color="auto"/>
          </w:divBdr>
        </w:div>
        <w:div w:id="688677168">
          <w:marLeft w:val="446"/>
          <w:marRight w:val="0"/>
          <w:marTop w:val="240"/>
          <w:marBottom w:val="0"/>
          <w:divBdr>
            <w:top w:val="none" w:sz="0" w:space="0" w:color="auto"/>
            <w:left w:val="none" w:sz="0" w:space="0" w:color="auto"/>
            <w:bottom w:val="none" w:sz="0" w:space="0" w:color="auto"/>
            <w:right w:val="none" w:sz="0" w:space="0" w:color="auto"/>
          </w:divBdr>
        </w:div>
        <w:div w:id="1254975628">
          <w:marLeft w:val="864"/>
          <w:marRight w:val="0"/>
          <w:marTop w:val="108"/>
          <w:marBottom w:val="0"/>
          <w:divBdr>
            <w:top w:val="none" w:sz="0" w:space="0" w:color="auto"/>
            <w:left w:val="none" w:sz="0" w:space="0" w:color="auto"/>
            <w:bottom w:val="none" w:sz="0" w:space="0" w:color="auto"/>
            <w:right w:val="none" w:sz="0" w:space="0" w:color="auto"/>
          </w:divBdr>
        </w:div>
      </w:divsChild>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7738628">
      <w:bodyDiv w:val="1"/>
      <w:marLeft w:val="0"/>
      <w:marRight w:val="0"/>
      <w:marTop w:val="0"/>
      <w:marBottom w:val="0"/>
      <w:divBdr>
        <w:top w:val="none" w:sz="0" w:space="0" w:color="auto"/>
        <w:left w:val="none" w:sz="0" w:space="0" w:color="auto"/>
        <w:bottom w:val="none" w:sz="0" w:space="0" w:color="auto"/>
        <w:right w:val="none" w:sz="0" w:space="0" w:color="auto"/>
      </w:divBdr>
      <w:divsChild>
        <w:div w:id="284435999">
          <w:marLeft w:val="864"/>
          <w:marRight w:val="0"/>
          <w:marTop w:val="108"/>
          <w:marBottom w:val="0"/>
          <w:divBdr>
            <w:top w:val="none" w:sz="0" w:space="0" w:color="auto"/>
            <w:left w:val="none" w:sz="0" w:space="0" w:color="auto"/>
            <w:bottom w:val="none" w:sz="0" w:space="0" w:color="auto"/>
            <w:right w:val="none" w:sz="0" w:space="0" w:color="auto"/>
          </w:divBdr>
        </w:div>
        <w:div w:id="1946576072">
          <w:marLeft w:val="1296"/>
          <w:marRight w:val="0"/>
          <w:marTop w:val="96"/>
          <w:marBottom w:val="0"/>
          <w:divBdr>
            <w:top w:val="none" w:sz="0" w:space="0" w:color="auto"/>
            <w:left w:val="none" w:sz="0" w:space="0" w:color="auto"/>
            <w:bottom w:val="none" w:sz="0" w:space="0" w:color="auto"/>
            <w:right w:val="none" w:sz="0" w:space="0" w:color="auto"/>
          </w:divBdr>
        </w:div>
        <w:div w:id="2137982645">
          <w:marLeft w:val="1296"/>
          <w:marRight w:val="0"/>
          <w:marTop w:val="96"/>
          <w:marBottom w:val="0"/>
          <w:divBdr>
            <w:top w:val="none" w:sz="0" w:space="0" w:color="auto"/>
            <w:left w:val="none" w:sz="0" w:space="0" w:color="auto"/>
            <w:bottom w:val="none" w:sz="0" w:space="0" w:color="auto"/>
            <w:right w:val="none" w:sz="0" w:space="0" w:color="auto"/>
          </w:divBdr>
        </w:div>
      </w:divsChild>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7392636">
      <w:bodyDiv w:val="1"/>
      <w:marLeft w:val="0"/>
      <w:marRight w:val="0"/>
      <w:marTop w:val="0"/>
      <w:marBottom w:val="0"/>
      <w:divBdr>
        <w:top w:val="none" w:sz="0" w:space="0" w:color="auto"/>
        <w:left w:val="none" w:sz="0" w:space="0" w:color="auto"/>
        <w:bottom w:val="none" w:sz="0" w:space="0" w:color="auto"/>
        <w:right w:val="none" w:sz="0" w:space="0" w:color="auto"/>
      </w:divBdr>
      <w:divsChild>
        <w:div w:id="173499772">
          <w:marLeft w:val="1166"/>
          <w:marRight w:val="0"/>
          <w:marTop w:val="86"/>
          <w:marBottom w:val="0"/>
          <w:divBdr>
            <w:top w:val="none" w:sz="0" w:space="0" w:color="auto"/>
            <w:left w:val="none" w:sz="0" w:space="0" w:color="auto"/>
            <w:bottom w:val="none" w:sz="0" w:space="0" w:color="auto"/>
            <w:right w:val="none" w:sz="0" w:space="0" w:color="auto"/>
          </w:divBdr>
        </w:div>
        <w:div w:id="496311028">
          <w:marLeft w:val="2520"/>
          <w:marRight w:val="0"/>
          <w:marTop w:val="67"/>
          <w:marBottom w:val="0"/>
          <w:divBdr>
            <w:top w:val="none" w:sz="0" w:space="0" w:color="auto"/>
            <w:left w:val="none" w:sz="0" w:space="0" w:color="auto"/>
            <w:bottom w:val="none" w:sz="0" w:space="0" w:color="auto"/>
            <w:right w:val="none" w:sz="0" w:space="0" w:color="auto"/>
          </w:divBdr>
        </w:div>
        <w:div w:id="824510928">
          <w:marLeft w:val="1800"/>
          <w:marRight w:val="0"/>
          <w:marTop w:val="77"/>
          <w:marBottom w:val="0"/>
          <w:divBdr>
            <w:top w:val="none" w:sz="0" w:space="0" w:color="auto"/>
            <w:left w:val="none" w:sz="0" w:space="0" w:color="auto"/>
            <w:bottom w:val="none" w:sz="0" w:space="0" w:color="auto"/>
            <w:right w:val="none" w:sz="0" w:space="0" w:color="auto"/>
          </w:divBdr>
        </w:div>
        <w:div w:id="861472800">
          <w:marLeft w:val="1800"/>
          <w:marRight w:val="0"/>
          <w:marTop w:val="77"/>
          <w:marBottom w:val="0"/>
          <w:divBdr>
            <w:top w:val="none" w:sz="0" w:space="0" w:color="auto"/>
            <w:left w:val="none" w:sz="0" w:space="0" w:color="auto"/>
            <w:bottom w:val="none" w:sz="0" w:space="0" w:color="auto"/>
            <w:right w:val="none" w:sz="0" w:space="0" w:color="auto"/>
          </w:divBdr>
        </w:div>
        <w:div w:id="921259177">
          <w:marLeft w:val="1800"/>
          <w:marRight w:val="0"/>
          <w:marTop w:val="77"/>
          <w:marBottom w:val="0"/>
          <w:divBdr>
            <w:top w:val="none" w:sz="0" w:space="0" w:color="auto"/>
            <w:left w:val="none" w:sz="0" w:space="0" w:color="auto"/>
            <w:bottom w:val="none" w:sz="0" w:space="0" w:color="auto"/>
            <w:right w:val="none" w:sz="0" w:space="0" w:color="auto"/>
          </w:divBdr>
        </w:div>
        <w:div w:id="1470707136">
          <w:marLeft w:val="1800"/>
          <w:marRight w:val="0"/>
          <w:marTop w:val="77"/>
          <w:marBottom w:val="0"/>
          <w:divBdr>
            <w:top w:val="none" w:sz="0" w:space="0" w:color="auto"/>
            <w:left w:val="none" w:sz="0" w:space="0" w:color="auto"/>
            <w:bottom w:val="none" w:sz="0" w:space="0" w:color="auto"/>
            <w:right w:val="none" w:sz="0" w:space="0" w:color="auto"/>
          </w:divBdr>
        </w:div>
        <w:div w:id="1471704341">
          <w:marLeft w:val="1166"/>
          <w:marRight w:val="0"/>
          <w:marTop w:val="86"/>
          <w:marBottom w:val="0"/>
          <w:divBdr>
            <w:top w:val="none" w:sz="0" w:space="0" w:color="auto"/>
            <w:left w:val="none" w:sz="0" w:space="0" w:color="auto"/>
            <w:bottom w:val="none" w:sz="0" w:space="0" w:color="auto"/>
            <w:right w:val="none" w:sz="0" w:space="0" w:color="auto"/>
          </w:divBdr>
        </w:div>
        <w:div w:id="2001541665">
          <w:marLeft w:val="1800"/>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DE31F-C6E4-4507-BCAA-0FDA084130DD}">
  <ds:schemaRefs>
    <ds:schemaRef ds:uri="http://schemas.openxmlformats.org/officeDocument/2006/bibliography"/>
  </ds:schemaRefs>
</ds:datastoreItem>
</file>

<file path=customXml/itemProps2.xml><?xml version="1.0" encoding="utf-8"?>
<ds:datastoreItem xmlns:ds="http://schemas.openxmlformats.org/officeDocument/2006/customXml" ds:itemID="{45D25B88-176C-4617-9A88-2C00AF3D610E}">
  <ds:schemaRefs>
    <ds:schemaRef ds:uri="http://schemas.openxmlformats.org/officeDocument/2006/bibliography"/>
  </ds:schemaRefs>
</ds:datastoreItem>
</file>

<file path=customXml/itemProps3.xml><?xml version="1.0" encoding="utf-8"?>
<ds:datastoreItem xmlns:ds="http://schemas.openxmlformats.org/officeDocument/2006/customXml" ds:itemID="{38260133-0940-4F9E-869B-431520460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1648</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PG</cp:lastModifiedBy>
  <cp:revision>6</cp:revision>
  <cp:lastPrinted>2010-08-13T05:54:00Z</cp:lastPrinted>
  <dcterms:created xsi:type="dcterms:W3CDTF">2013-11-02T00:26:00Z</dcterms:created>
  <dcterms:modified xsi:type="dcterms:W3CDTF">2013-11-02T05:29:00Z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-369827094</vt:i4>
  </property>
  <property fmtid="{D5CDD505-2E9C-101B-9397-08002B2CF9AE}" pid="3" name="_NewReviewCycle">
    <vt:lpwstr/>
  </property>
  <property fmtid="{D5CDD505-2E9C-101B-9397-08002B2CF9AE}" pid="4" name="_EmailSubject">
    <vt:lpwstr>Comments on eIMTA contributions</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PreviousAdHocReviewCycleID">
    <vt:i4>63643029</vt:i4>
  </property>
  <property fmtid="{D5CDD505-2E9C-101B-9397-08002B2CF9AE}" pid="8" name="_ReviewingToolsShownOnce">
    <vt:lpwstr/>
  </property>
</Properties>
</file>